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14" w:name="X1b1b5836544e95e7ba683b8f0eb4f65bf553171"/>
    <w:p>
      <w:pPr>
        <w:pStyle w:val="Heading1"/>
      </w:pPr>
      <w:r>
        <w:t xml:space="preserve">Attestation de confidentialité et de non-réutilisation des données —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Référence</w:t>
            </w:r>
          </w:p>
        </w:tc>
        <w:tc>
          <w:tcPr/>
          <w:p>
            <w:pPr>
              <w:pStyle w:val="Compact"/>
            </w:pPr>
            <w:r>
              <w:t xml:space="preserve">TRB-CONF-01.05</w:t>
            </w:r>
          </w:p>
        </w:tc>
      </w:tr>
      <w:tr>
        <w:tc>
          <w:tcPr/>
          <w:p>
            <w:pPr>
              <w:pStyle w:val="Compact"/>
            </w:pPr>
            <w:r>
              <w:t xml:space="preserve">Version</w:t>
            </w:r>
          </w:p>
        </w:tc>
        <w:tc>
          <w:tcPr/>
          <w:p>
            <w:pPr>
              <w:pStyle w:val="Compact"/>
            </w:pPr>
            <w:r>
              <w:t xml:space="preserve">1.0</w:t>
            </w:r>
          </w:p>
        </w:tc>
      </w:tr>
      <w:tr>
        <w:tc>
          <w:tcPr/>
          <w:p>
            <w:pPr>
              <w:pStyle w:val="Compact"/>
            </w:pPr>
            <w:r>
              <w:t xml:space="preserve">Date</w:t>
            </w:r>
          </w:p>
        </w:tc>
        <w:tc>
          <w:tcPr/>
          <w:p>
            <w:pPr>
              <w:pStyle w:val="Compact"/>
            </w:pPr>
            <w:r>
              <w:t xml:space="preserve">2026-07-24</w:t>
            </w:r>
          </w:p>
        </w:tc>
      </w:tr>
      <w:tr>
        <w:tc>
          <w:tcPr/>
          <w:p>
            <w:pPr>
              <w:pStyle w:val="Compact"/>
            </w:pPr>
            <w:r>
              <w:t xml:space="preserve">Rédacteur</w:t>
            </w:r>
          </w:p>
        </w:tc>
        <w:tc>
          <w:tcPr/>
          <w:p>
            <w:pPr>
              <w:pStyle w:val="Compact"/>
            </w:pPr>
            <w:r>
              <w:t xml:space="preserve">OHADJA</w:t>
            </w:r>
          </w:p>
        </w:tc>
      </w:tr>
      <w:tr>
        <w:tc>
          <w:tcPr/>
          <w:p>
            <w:pPr>
              <w:pStyle w:val="Compact"/>
            </w:pPr>
            <w:r>
              <w:t xml:space="preserve">Classification</w:t>
            </w:r>
          </w:p>
        </w:tc>
        <w:tc>
          <w:tcPr/>
          <w:p>
            <w:pPr>
              <w:pStyle w:val="Compact"/>
            </w:pPr>
            <w:r>
              <w:t xml:space="preserve">Public — document type, précisé lors de chaque contractualisation</w:t>
            </w:r>
          </w:p>
        </w:tc>
      </w:tr>
    </w:tbl>
    <w:bookmarkStart w:id="9" w:name="X911dca219555f1a78d100c92819cb03dc37c622"/>
    <w:p>
      <w:pPr>
        <w:pStyle w:val="Heading2"/>
      </w:pPr>
      <w:r>
        <w:t xml:space="preserve">1. Objet et périmètre de l'attestation</w:t>
      </w:r>
    </w:p>
    <w:p>
      <w:pPr>
        <w:pStyle w:val="FirstParagraph"/>
      </w:pPr>
      <w:r>
        <w:t xml:space="preserve">La présente attestation est établie par OHADJA, éditeur et fournisseur de la solution TranscribIA, à la demande de son client, aux fins de confirmer par écrit les garanties de confidentialité et de non-réutilisation des données applicables à un déploiement en</w:t>
      </w:r>
      <w:r>
        <w:t xml:space="preserve"> </w:t>
      </w:r>
      <w:r>
        <w:rPr>
          <w:b/>
          <w:bCs/>
        </w:rPr>
        <w:t xml:space="preserve">Option B — on-premise isolé</w:t>
      </w:r>
      <w:r>
        <w:t xml:space="preserve">.</w:t>
      </w:r>
    </w:p>
    <w:p>
      <w:pPr>
        <w:pStyle w:val="BodyText"/>
      </w:pPr>
      <w:r>
        <w:rPr>
          <w:b/>
          <w:bCs/>
        </w:rPr>
        <w:t xml:space="preserve">Périmètre couvert.</w:t>
      </w:r>
      <w:r>
        <w:t xml:space="preserve"> </w:t>
      </w:r>
      <w:r>
        <w:t xml:space="preserve">L'attestation figurant à la section 2 vaut exclusivement pour un déploiement de TranscribIA en</w:t>
      </w:r>
      <w:r>
        <w:t xml:space="preserve"> </w:t>
      </w:r>
      <w:r>
        <w:rPr>
          <w:b/>
          <w:bCs/>
        </w:rPr>
        <w:t xml:space="preserve">Option B on-premise isolée</w:t>
      </w:r>
      <w:r>
        <w:t xml:space="preserve">, c'est-à-dire une installation dans laquelle l'intégralité des composants de la solution (application, base de données, worker de transcription GPU, modèle d'intelligence artificielle auto-hébergé) s'exécute dans l'infrastructure du client, sans flux sortant requis pour le fonctionnement nominal.</w:t>
      </w:r>
    </w:p>
    <w:p>
      <w:pPr>
        <w:pStyle w:val="BodyText"/>
      </w:pPr>
      <w:r>
        <w:rPr>
          <w:b/>
          <w:bCs/>
        </w:rPr>
        <w:t xml:space="preserve">Exclusions et réserves.</w:t>
      </w:r>
      <w:r>
        <w:t xml:space="preserve"> </w:t>
      </w:r>
      <w:r>
        <w:t xml:space="preserve">L'attestation ne couvre pas :</w:t>
      </w:r>
    </w:p>
    <w:p>
      <w:pPr>
        <w:pStyle w:val="Compact"/>
        <w:numPr>
          <w:ilvl w:val="0"/>
          <w:numId w:val="1001"/>
        </w:numPr>
      </w:pPr>
      <w:r>
        <w:t xml:space="preserve">les opérations réalisées par le client lui-même sur son infrastructure (hébergement, administration système, sécurité réseau, sauvegardes, supervision), qui relèvent de sa responsabilité ;</w:t>
      </w:r>
    </w:p>
    <w:p>
      <w:pPr>
        <w:pStyle w:val="Compact"/>
        <w:numPr>
          <w:ilvl w:val="0"/>
          <w:numId w:val="1001"/>
        </w:numPr>
      </w:pPr>
      <w:r>
        <w:t xml:space="preserve">toute activation, par le client, d'une fonction impliquant un flux sortant (par exemple recours à un modèle d'IA distant ou à une ressource GPU externe), qui ferait sortir le déploiement du périmètre « isolé » ;</w:t>
      </w:r>
    </w:p>
    <w:p>
      <w:pPr>
        <w:pStyle w:val="Compact"/>
        <w:numPr>
          <w:ilvl w:val="0"/>
          <w:numId w:val="1001"/>
        </w:numPr>
      </w:pPr>
      <w:r>
        <w:t xml:space="preserve">le support à distance, qui n'a lieu que</w:t>
      </w:r>
      <w:r>
        <w:t xml:space="preserve"> </w:t>
      </w:r>
      <w:r>
        <w:rPr>
          <w:b/>
          <w:bCs/>
        </w:rPr>
        <w:t xml:space="preserve">sur autorisation expresse et préalable du client, dans le cadre d'une session supervisée</w:t>
      </w:r>
      <w:r>
        <w:t xml:space="preserve"> </w:t>
      </w:r>
      <w:r>
        <w:t xml:space="preserve">par le client,</w:t>
      </w:r>
      <w:r>
        <w:t xml:space="preserve"> </w:t>
      </w:r>
      <w:r>
        <w:rPr>
          <w:b/>
          <w:bCs/>
        </w:rPr>
        <w:t xml:space="preserve">réalisé exclusivement depuis la France ou l'Union européenne</w:t>
      </w:r>
      <w:r>
        <w:t xml:space="preserve">, sans copie locale des données de production, et dont chaque intervention est journalisée.</w:t>
      </w:r>
    </w:p>
    <w:p>
      <w:pPr>
        <w:pStyle w:val="FirstParagraph"/>
      </w:pPr>
      <w:r>
        <w:t xml:space="preserve">Toute intervention en dehors de ce périmètre fait l'objet d'un accord spécifique et n'est pas couverte par la présente attestation.</w:t>
      </w:r>
    </w:p>
    <w:bookmarkEnd w:id="9"/>
    <w:bookmarkStart w:id="10" w:name="Xedb769931442d0b50170f248284f489fa6faaa2"/>
    <w:p>
      <w:pPr>
        <w:pStyle w:val="Heading2"/>
      </w:pPr>
      <w:r>
        <w:t xml:space="preserve">2. Attestation — Option B on-premise isolée</w:t>
      </w:r>
    </w:p>
    <w:p>
      <w:pPr>
        <w:pStyle w:val="FirstParagraph"/>
      </w:pPr>
      <w:r>
        <w:t xml:space="preserve">Je soussigné, Olivier Dupont, agissant en qualité de Président et représentant OHADJA, atteste, pour un déploiement de la solution TranscribIA en Option B on-premise isolée tel que défini à la section 1 :</w:t>
      </w:r>
    </w:p>
    <w:p>
      <w:pPr>
        <w:numPr>
          <w:ilvl w:val="0"/>
          <w:numId w:val="1002"/>
        </w:numPr>
      </w:pPr>
      <w:r>
        <w:rPr>
          <w:b/>
          <w:bCs/>
        </w:rPr>
        <w:t xml:space="preserve">Aucune donnée envoyée dans le cloud.</w:t>
      </w:r>
      <w:r>
        <w:t xml:space="preserve"> </w:t>
      </w:r>
      <w:r>
        <w:t xml:space="preserve">Aucune donnée du client (fichiers audio, transcriptions, documents, métadonnées, comptes utilisateurs, générations) n'est transmise vers un service cloud externe ou un tiers pour le fonctionnement nominal de la solution. L'ensemble des traitements, y compris la transcription, la diarisation et l'exploitation par intelligence artificielle, s'exécute sur des composants hébergés dans l'infrastructure du client.</w:t>
      </w:r>
    </w:p>
    <w:p>
      <w:pPr>
        <w:numPr>
          <w:ilvl w:val="0"/>
          <w:numId w:val="1002"/>
        </w:numPr>
      </w:pPr>
      <w:r>
        <w:rPr>
          <w:b/>
          <w:bCs/>
        </w:rPr>
        <w:t xml:space="preserve">Aucune donnée client utilisée pour entraîner des modèles.</w:t>
      </w:r>
      <w:r>
        <w:t xml:space="preserve"> </w:t>
      </w:r>
      <w:r>
        <w:t xml:space="preserve">Aucune donnée du client n'est utilisée par OHADJA pour entraîner, ré-entraîner, affiner ou évaluer un modèle, qu'il s'agisse de modèles de transcription, de diarisation, d'intelligence artificielle ou de corrélation vocale.</w:t>
      </w:r>
    </w:p>
    <w:p>
      <w:pPr>
        <w:numPr>
          <w:ilvl w:val="0"/>
          <w:numId w:val="1002"/>
        </w:numPr>
      </w:pPr>
      <w:r>
        <w:rPr>
          <w:b/>
          <w:bCs/>
        </w:rPr>
        <w:t xml:space="preserve">Aucune réutilisation des données par le prestataire.</w:t>
      </w:r>
      <w:r>
        <w:t xml:space="preserve"> </w:t>
      </w:r>
      <w:r>
        <w:t xml:space="preserve">OHADJA ne réutilise les données du client à aucune fin propre. Les données sont traitées uniquement pour le compte du client, dans le cadre de la fourniture de la solution et des instructions documentées du client.</w:t>
      </w:r>
    </w:p>
    <w:p>
      <w:pPr>
        <w:numPr>
          <w:ilvl w:val="0"/>
          <w:numId w:val="1002"/>
        </w:numPr>
      </w:pPr>
      <w:r>
        <w:rPr>
          <w:b/>
          <w:bCs/>
        </w:rPr>
        <w:t xml:space="preserve">Toutes les données restent hébergées dans l'infrastructure du client.</w:t>
      </w:r>
      <w:r>
        <w:t xml:space="preserve"> </w:t>
      </w:r>
      <w:r>
        <w:t xml:space="preserve">L'intégralité des données traitées demeure stockée et hébergée dans l'infrastructure désignée par le client. OHADJA ne détient aucune copie des données de production du client.</w:t>
      </w:r>
    </w:p>
    <w:p>
      <w:pPr>
        <w:pStyle w:val="FirstParagraph"/>
      </w:pPr>
      <w:r>
        <w:t xml:space="preserve">Cette attestation est donnée de bonne foi, sur la base de l'architecture et de la configuration « on-premise isolée » de la solution. Elle est subordonnée au maintien, par le client, de cette configuration isolée et à l'absence d'activation de fonctions impliquant un flux sortant.</w:t>
      </w:r>
    </w:p>
    <w:bookmarkEnd w:id="10"/>
    <w:bookmarkStart w:id="11" w:name="Xd34e22c39898983bff1130fe82c10f2b73dc6cb"/>
    <w:p>
      <w:pPr>
        <w:pStyle w:val="Heading2"/>
      </w:pPr>
      <w:r>
        <w:t xml:space="preserve">3. Variante — Option A SaaS souverain</w:t>
      </w:r>
    </w:p>
    <w:p>
      <w:pPr>
        <w:pStyle w:val="FirstParagraph"/>
      </w:pPr>
      <w:r>
        <w:t xml:space="preserve">Lorsque la solution est fournie en</w:t>
      </w:r>
      <w:r>
        <w:t xml:space="preserve"> </w:t>
      </w:r>
      <w:r>
        <w:rPr>
          <w:b/>
          <w:bCs/>
        </w:rPr>
        <w:t xml:space="preserve">Option A — SaaS souverain</w:t>
      </w:r>
      <w:r>
        <w:t xml:space="preserve">, l'attestation d'isolation totale de la section 2 ne s'applique pas, la solution étant hébergée et exploitée par OHADJA. Les garanties suivantes demeurent néanmoins applicables :</w:t>
      </w:r>
    </w:p>
    <w:p>
      <w:pPr>
        <w:pStyle w:val="Compact"/>
        <w:numPr>
          <w:ilvl w:val="0"/>
          <w:numId w:val="1003"/>
        </w:numPr>
      </w:pPr>
      <w:r>
        <w:rPr>
          <w:b/>
          <w:bCs/>
        </w:rPr>
        <w:t xml:space="preserve">Non-entraînement (point 2 ci-dessus)</w:t>
      </w:r>
      <w:r>
        <w:t xml:space="preserve"> </w:t>
      </w:r>
      <w:r>
        <w:t xml:space="preserve">: aucune donnée du client n'est utilisée pour entraîner des modèles.</w:t>
      </w:r>
    </w:p>
    <w:p>
      <w:pPr>
        <w:pStyle w:val="Compact"/>
        <w:numPr>
          <w:ilvl w:val="0"/>
          <w:numId w:val="1003"/>
        </w:numPr>
      </w:pPr>
      <w:r>
        <w:rPr>
          <w:b/>
          <w:bCs/>
        </w:rPr>
        <w:t xml:space="preserve">Non-réutilisation (point 3 ci-dessus)</w:t>
      </w:r>
      <w:r>
        <w:t xml:space="preserve"> </w:t>
      </w:r>
      <w:r>
        <w:t xml:space="preserve">: OHADJA ne réutilise pas les données du client à ses propres fins.</w:t>
      </w:r>
    </w:p>
    <w:p>
      <w:pPr>
        <w:pStyle w:val="Compact"/>
        <w:numPr>
          <w:ilvl w:val="0"/>
          <w:numId w:val="1003"/>
        </w:numPr>
      </w:pPr>
      <w:r>
        <w:rPr>
          <w:b/>
          <w:bCs/>
        </w:rPr>
        <w:t xml:space="preserve">Hébergement France/UE</w:t>
      </w:r>
      <w:r>
        <w:t xml:space="preserve"> </w:t>
      </w:r>
      <w:r>
        <w:t xml:space="preserve">: les données de production sont hébergées en France (datacenter de Strasbourg) et les sauvegardes chiffrées sont stockées en France (Scaleway).</w:t>
      </w:r>
    </w:p>
    <w:p>
      <w:pPr>
        <w:pStyle w:val="Compact"/>
        <w:numPr>
          <w:ilvl w:val="0"/>
          <w:numId w:val="1003"/>
        </w:numPr>
      </w:pPr>
      <w:r>
        <w:rPr>
          <w:b/>
          <w:bCs/>
        </w:rPr>
        <w:t xml:space="preserve">Encadrement de l'IA</w:t>
      </w:r>
      <w:r>
        <w:t xml:space="preserve"> </w:t>
      </w:r>
      <w:r>
        <w:t xml:space="preserve">: les traitements d'intelligence artificielle opèrent sur les seules sources sélectionnées par le client, avec minimisation, sans entraînement sur les données et sans stockage durable chez les fournisseurs. Selon la configuration, un traitement hors EEE est possible ; il est alors encadré par les mécanismes du chapitre V du RGPD et détaillé au document TRB-CONF-01.04. Un profil « UE strict » permet d'exclure tout traitement hors EEE.</w:t>
      </w:r>
    </w:p>
    <w:p>
      <w:pPr>
        <w:pStyle w:val="FirstParagraph"/>
      </w:pPr>
      <w:r>
        <w:t xml:space="preserve">La variante SaaS ne peut donc pas attester de l'absence de tout envoi de données hors de l'infrastructure d'OHADJA, contrairement à l'Option B isolée. Cette distinction est faite de manière transparente.</w:t>
      </w:r>
    </w:p>
    <w:bookmarkEnd w:id="11"/>
    <w:bookmarkStart w:id="12" w:name="Xf87c5737d18b8839b8ac13a17e1a029202535fd"/>
    <w:p>
      <w:pPr>
        <w:pStyle w:val="Heading2"/>
      </w:pPr>
      <w:r>
        <w:t xml:space="preserve">4. Portée juridique</w:t>
      </w:r>
    </w:p>
    <w:p>
      <w:pPr>
        <w:pStyle w:val="FirstParagraph"/>
      </w:pPr>
      <w:r>
        <w:t xml:space="preserve">La présente attestation complète, sans les remplacer, les engagements figurant à l'Accord de sous-traitance (document TRB-CONF-01.02) et au contrat principal. En cas de divergence, les stipulations du DPA et du contrat principal prévalent.</w:t>
      </w:r>
    </w:p>
    <w:bookmarkEnd w:id="12"/>
    <w:bookmarkStart w:id="13" w:name="X14bc5de1db413596a714c28200c343943188e49"/>
    <w:p>
      <w:pPr>
        <w:pStyle w:val="Heading2"/>
      </w:pPr>
      <w:r>
        <w:t xml:space="preserve">5. Signature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Fait à</w:t>
            </w:r>
          </w:p>
        </w:tc>
        <w:tc>
          <w:tcPr/>
          <w:p>
            <w:pPr>
              <w:pStyle w:val="Compact"/>
            </w:pPr>
            <w:r>
              <w:t xml:space="preserve">[À COMPLÉTER : lieu]</w:t>
            </w:r>
          </w:p>
        </w:tc>
      </w:tr>
      <w:tr>
        <w:tc>
          <w:tcPr/>
          <w:p>
            <w:pPr>
              <w:pStyle w:val="Compact"/>
            </w:pPr>
            <w:r>
              <w:t xml:space="preserve">Le</w:t>
            </w:r>
          </w:p>
        </w:tc>
        <w:tc>
          <w:tcPr/>
          <w:p>
            <w:pPr>
              <w:pStyle w:val="Compact"/>
            </w:pPr>
            <w:r>
              <w:t xml:space="preserve">[À COMPLÉTER : date de signature]</w:t>
            </w:r>
          </w:p>
        </w:tc>
      </w:tr>
      <w:tr>
        <w:tc>
          <w:tcPr/>
          <w:p>
            <w:pPr>
              <w:pStyle w:val="Compact"/>
            </w:pPr>
            <w:r>
              <w:t xml:space="preserve">Nom</w:t>
            </w:r>
          </w:p>
        </w:tc>
        <w:tc>
          <w:tcPr/>
          <w:p>
            <w:pPr>
              <w:pStyle w:val="Compact"/>
            </w:pPr>
            <w:r>
              <w:t xml:space="preserve">Olivier Dupont</w:t>
            </w:r>
          </w:p>
        </w:tc>
      </w:tr>
      <w:tr>
        <w:tc>
          <w:tcPr/>
          <w:p>
            <w:pPr>
              <w:pStyle w:val="Compact"/>
            </w:pPr>
            <w:r>
              <w:t xml:space="preserve">Qualité</w:t>
            </w:r>
          </w:p>
        </w:tc>
        <w:tc>
          <w:tcPr/>
          <w:p>
            <w:pPr>
              <w:pStyle w:val="Compact"/>
            </w:pPr>
            <w:r>
              <w:t xml:space="preserve">Président</w:t>
            </w:r>
          </w:p>
        </w:tc>
      </w:tr>
      <w:tr>
        <w:tc>
          <w:tcPr/>
          <w:p>
            <w:pPr>
              <w:pStyle w:val="Compact"/>
            </w:pPr>
            <w:r>
              <w:t xml:space="preserve">Signature</w:t>
            </w:r>
          </w:p>
        </w:tc>
        <w:tc>
          <w:tcPr/>
          <w:p>
            <w:pPr>
              <w:pStyle w:val="Compact"/>
            </w:pPr>
          </w:p>
        </w:tc>
      </w:tr>
      <w:tr>
        <w:tc>
          <w:tcPr/>
          <w:p>
            <w:pPr>
              <w:pStyle w:val="Compact"/>
            </w:pPr>
            <w:r>
              <w:t xml:space="preserve">Cachet</w:t>
            </w:r>
          </w:p>
        </w:tc>
        <w:tc>
          <w:tcPr/>
          <w:p>
            <w:pPr>
              <w:pStyle w:val="Compact"/>
            </w:pPr>
          </w:p>
        </w:tc>
      </w:tr>
    </w:tbl>
    <w:p>
      <w:r>
        <w:pict>
          <v:rect style="width:0;height:1.5pt" o:hralign="center" o:hrstd="t" o:hr="t"/>
        </w:pict>
      </w:r>
    </w:p>
    <w:p>
      <w:pPr>
        <w:pStyle w:val="FirstParagraph"/>
      </w:pPr>
      <w:r>
        <w:rPr>
          <w:i/>
          <w:iCs/>
        </w:rPr>
        <w:t xml:space="preserve">Document de travail établi par OHADJA — à faire valider par votre conseil juridique / DPO avant signature.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2026-07-25T09:45:12Z</dcterms:created>
  <dcterms:modified xsi:type="dcterms:W3CDTF">2026-07-25T09:45:12Z</dcterms:modified>
</cp:coreProperties>
</file>

<file path=docProps/custom.xml><?xml version="1.0" encoding="utf-8"?>
<Properties xmlns="http://schemas.openxmlformats.org/officeDocument/2006/custom-properties" xmlns:vt="http://schemas.openxmlformats.org/officeDocument/2006/docPropsVTypes"/>
</file>