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57" w:name="X539e31f0c026021fb8cde29549f83f5b9ec291c"/>
    <w:p>
      <w:pPr>
        <w:pStyle w:val="Heading1"/>
      </w:pPr>
      <w:r>
        <w:t xml:space="preserve">Conditions générales de vente et de maintenance — TranscribIA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rPr>
                <w:b/>
                <w:bCs/>
              </w:rPr>
              <w:t xml:space="preserve">Référence</w:t>
            </w:r>
          </w:p>
        </w:tc>
        <w:tc>
          <w:tcPr/>
          <w:p>
            <w:pPr>
              <w:pStyle w:val="Compact"/>
            </w:pPr>
            <w:r>
              <w:t xml:space="preserve">CGVM-TRANSCRIBIA-2026-01</w:t>
            </w:r>
          </w:p>
        </w:tc>
      </w:tr>
      <w:tr>
        <w:tc>
          <w:tcPr/>
          <w:p>
            <w:pPr>
              <w:pStyle w:val="Compact"/>
            </w:pPr>
            <w:r>
              <w:rPr>
                <w:b/>
                <w:bCs/>
              </w:rPr>
              <w:t xml:space="preserve">Version</w:t>
            </w:r>
          </w:p>
        </w:tc>
        <w:tc>
          <w:tcPr/>
          <w:p>
            <w:pPr>
              <w:pStyle w:val="Compact"/>
            </w:pPr>
            <w:r>
              <w:t xml:space="preserve">1.0</w:t>
            </w:r>
          </w:p>
        </w:tc>
      </w:tr>
      <w:tr>
        <w:tc>
          <w:tcPr/>
          <w:p>
            <w:pPr>
              <w:pStyle w:val="Compact"/>
            </w:pPr>
            <w:r>
              <w:rPr>
                <w:b/>
                <w:bCs/>
              </w:rPr>
              <w:t xml:space="preserve">Date</w:t>
            </w:r>
          </w:p>
        </w:tc>
        <w:tc>
          <w:tcPr/>
          <w:p>
            <w:pPr>
              <w:pStyle w:val="Compact"/>
            </w:pPr>
            <w:r>
              <w:t xml:space="preserve">2026-07-24</w:t>
            </w:r>
          </w:p>
        </w:tc>
      </w:tr>
      <w:tr>
        <w:tc>
          <w:tcPr/>
          <w:p>
            <w:pPr>
              <w:pStyle w:val="Compact"/>
            </w:pPr>
            <w:r>
              <w:rPr>
                <w:b/>
                <w:bCs/>
              </w:rPr>
              <w:t xml:space="preserve">Rédacteur</w:t>
            </w:r>
          </w:p>
        </w:tc>
        <w:tc>
          <w:tcPr/>
          <w:p>
            <w:pPr>
              <w:pStyle w:val="Compact"/>
            </w:pPr>
            <w:r>
              <w:t xml:space="preserve">OHADJA</w:t>
            </w:r>
          </w:p>
        </w:tc>
      </w:tr>
      <w:tr>
        <w:tc>
          <w:tcPr/>
          <w:p>
            <w:pPr>
              <w:pStyle w:val="Compact"/>
            </w:pPr>
            <w:r>
              <w:rPr>
                <w:b/>
                <w:bCs/>
              </w:rPr>
              <w:t xml:space="preserve">Classification</w:t>
            </w:r>
          </w:p>
        </w:tc>
        <w:tc>
          <w:tcPr/>
          <w:p>
            <w:pPr>
              <w:pStyle w:val="Compact"/>
            </w:pPr>
            <w:r>
              <w:t xml:space="preserve">Public — modèle de contrat (à compléter avant signature)</w:t>
            </w:r>
          </w:p>
        </w:tc>
      </w:tr>
    </w:tbl>
    <w:p>
      <w:r>
        <w:pict>
          <v:rect style="width:0;height:1.5pt" o:hralign="center" o:hrstd="t" o:hr="t"/>
        </w:pict>
      </w:r>
    </w:p>
    <w:bookmarkStart w:id="15" w:name="article-1--objet-et-définitions"/>
    <w:p>
      <w:pPr>
        <w:pStyle w:val="Heading2"/>
      </w:pPr>
      <w:r>
        <w:t xml:space="preserve">Article 1 — Objet et définitions</w:t>
      </w:r>
    </w:p>
    <w:bookmarkStart w:id="9" w:name="Xf4671889473d27fcb7b5710cf7ac2343be1d8a0"/>
    <w:p>
      <w:pPr>
        <w:pStyle w:val="Heading3"/>
      </w:pPr>
      <w:r>
        <w:t xml:space="preserve">1.1 Objet</w:t>
      </w:r>
    </w:p>
    <w:p>
      <w:pPr>
        <w:pStyle w:val="FirstParagraph"/>
      </w:pPr>
      <w:r>
        <w:t xml:space="preserve">Les présentes conditions générales de vente et de maintenance (ci-après les « Conditions » ou « CGVM ») régissent la fourniture, par la société OHADJA, éditeur de la solution logicielle</w:t>
      </w:r>
      <w:r>
        <w:t xml:space="preserve"> </w:t>
      </w:r>
      <w:r>
        <w:rPr>
          <w:b/>
          <w:bCs/>
        </w:rPr>
        <w:t xml:space="preserve">TranscribIA</w:t>
      </w:r>
      <w:r>
        <w:t xml:space="preserve">, de l'ensemble des prestations associées à cette solution : mise à disposition en mode logiciel-service (SaaS), concession de licence d'utilisation en mode sur site (on-premise), maintenance, support, mises à jour et prestations complémentaires éventuelles.</w:t>
      </w:r>
    </w:p>
    <w:p>
      <w:pPr>
        <w:pStyle w:val="BodyText"/>
      </w:pPr>
      <w:r>
        <w:t xml:space="preserve">Elles s'appliquent à toute commande passée par le client (ci-après le « Client ») auprès d'OHADJA, qu'elle soit conclue directement ou par l'intermédiaire d'un distributeur ou intégrateur agréé.</w:t>
      </w:r>
    </w:p>
    <w:p>
      <w:pPr>
        <w:pStyle w:val="BodyText"/>
      </w:pPr>
      <w:r>
        <w:t xml:space="preserve">Toute commande emporte adhésion sans réserve aux présentes Conditions, qui prévalent sur tout document contradictoire émanant du Client, notamment ses conditions générales d'achat, sauf stipulation particulière expressément acceptée par écrit par OHADJA.</w:t>
      </w:r>
    </w:p>
    <w:bookmarkEnd w:id="9"/>
    <w:bookmarkStart w:id="13" w:name="X89d109302845bed012e9ce6674460c1e1467532"/>
    <w:p>
      <w:pPr>
        <w:pStyle w:val="Heading3"/>
      </w:pPr>
      <w:r>
        <w:t xml:space="preserve">1.2 Identification de l'éditeur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Dénomination sociale</w:t>
            </w:r>
          </w:p>
        </w:tc>
        <w:tc>
          <w:tcPr/>
          <w:p>
            <w:pPr>
              <w:pStyle w:val="Compact"/>
            </w:pPr>
            <w:r>
              <w:t xml:space="preserve">OHADJA</w:t>
            </w:r>
          </w:p>
        </w:tc>
      </w:tr>
      <w:tr>
        <w:tc>
          <w:tcPr/>
          <w:p>
            <w:pPr>
              <w:pStyle w:val="Compact"/>
            </w:pPr>
            <w:r>
              <w:t xml:space="preserve">Forme juridique</w:t>
            </w:r>
          </w:p>
        </w:tc>
        <w:tc>
          <w:tcPr/>
          <w:p>
            <w:pPr>
              <w:pStyle w:val="Compact"/>
            </w:pPr>
            <w:r>
              <w:t xml:space="preserve">Société par actions simplifiée (SAS) — activité principale 62.01Z (programmation informatique)</w:t>
            </w:r>
          </w:p>
        </w:tc>
      </w:tr>
      <w:tr>
        <w:tc>
          <w:tcPr/>
          <w:p>
            <w:pPr>
              <w:pStyle w:val="Compact"/>
            </w:pPr>
            <w:r>
              <w:t xml:space="preserve">N° TVA intracommunautaire</w:t>
            </w:r>
          </w:p>
        </w:tc>
        <w:tc>
          <w:tcPr/>
          <w:p>
            <w:pPr>
              <w:pStyle w:val="Compact"/>
            </w:pPr>
            <w:r>
              <w:t xml:space="preserve">FR78992146480</w:t>
            </w:r>
          </w:p>
        </w:tc>
      </w:tr>
      <w:tr>
        <w:tc>
          <w:tcPr/>
          <w:p>
            <w:pPr>
              <w:pStyle w:val="Compact"/>
            </w:pPr>
            <w:r>
              <w:t xml:space="preserve">Représentant légal</w:t>
            </w:r>
          </w:p>
        </w:tc>
        <w:tc>
          <w:tcPr/>
          <w:p>
            <w:pPr>
              <w:pStyle w:val="Compact"/>
            </w:pPr>
            <w:r>
              <w:t xml:space="preserve">Olivier Dupont, Président</w:t>
            </w:r>
          </w:p>
        </w:tc>
      </w:tr>
      <w:tr>
        <w:tc>
          <w:tcPr/>
          <w:p>
            <w:pPr>
              <w:pStyle w:val="Compact"/>
            </w:pPr>
            <w:r>
              <w:t xml:space="preserve">Siège social</w:t>
            </w:r>
          </w:p>
        </w:tc>
        <w:tc>
          <w:tcPr/>
          <w:p>
            <w:pPr>
              <w:pStyle w:val="Compact"/>
            </w:pPr>
            <w:r>
              <w:t xml:space="preserve">60 rue François 1er, 75008 Paris, France</w:t>
            </w:r>
          </w:p>
        </w:tc>
      </w:tr>
      <w:tr>
        <w:tc>
          <w:tcPr/>
          <w:p>
            <w:pPr>
              <w:pStyle w:val="Compact"/>
            </w:pPr>
            <w:r>
              <w:t xml:space="preserve">Immatriculation</w:t>
            </w:r>
          </w:p>
        </w:tc>
        <w:tc>
          <w:tcPr/>
          <w:p>
            <w:pPr>
              <w:pStyle w:val="Compact"/>
            </w:pPr>
            <w:r>
              <w:t xml:space="preserve">992 146 480 R.C.S. Paris — SIRET du siège : 992 146 480 00015</w:t>
            </w:r>
          </w:p>
        </w:tc>
      </w:tr>
      <w:tr>
        <w:tc>
          <w:tcPr/>
          <w:p>
            <w:pPr>
              <w:pStyle w:val="Compact"/>
            </w:pPr>
            <w:r>
              <w:t xml:space="preserve">Contact commercial</w:t>
            </w:r>
          </w:p>
        </w:tc>
        <w:tc>
          <w:tcPr/>
          <w:p>
            <w:pPr>
              <w:pStyle w:val="Compact"/>
            </w:pPr>
            <w:hyperlink r:id="rId10">
              <w:r>
                <w:rPr>
                  <w:rStyle w:val="Hyperlink"/>
                </w:rPr>
                <w:t xml:space="preserve">contact@transcribia.eu</w:t>
              </w:r>
            </w:hyperlink>
            <w:r>
              <w:t xml:space="preserve"> </w:t>
            </w:r>
            <w:r>
              <w:t xml:space="preserve">(téléphone : [À COMPLÉTER])</w:t>
            </w:r>
          </w:p>
        </w:tc>
      </w:tr>
      <w:tr>
        <w:tc>
          <w:tcPr/>
          <w:p>
            <w:pPr>
              <w:pStyle w:val="Compact"/>
            </w:pPr>
            <w:r>
              <w:t xml:space="preserve">Contact support</w:t>
            </w:r>
          </w:p>
        </w:tc>
        <w:tc>
          <w:tcPr/>
          <w:p>
            <w:pPr>
              <w:pStyle w:val="Compact"/>
            </w:pPr>
            <w:hyperlink r:id="rId11">
              <w:r>
                <w:rPr>
                  <w:rStyle w:val="Hyperlink"/>
                </w:rPr>
                <w:t xml:space="preserve">support@transcribia.eu</w:t>
              </w:r>
            </w:hyperlink>
          </w:p>
        </w:tc>
      </w:tr>
      <w:tr>
        <w:tc>
          <w:tcPr/>
          <w:p>
            <w:pPr>
              <w:pStyle w:val="Compact"/>
            </w:pPr>
            <w:r>
              <w:t xml:space="preserve">Contact protection des données</w:t>
            </w:r>
          </w:p>
        </w:tc>
        <w:tc>
          <w:tcPr/>
          <w:p>
            <w:pPr>
              <w:pStyle w:val="Compact"/>
            </w:pPr>
            <w:hyperlink r:id="rId12">
              <w:r>
                <w:rPr>
                  <w:rStyle w:val="Hyperlink"/>
                </w:rPr>
                <w:t xml:space="preserve">privacy@transcribia.eu</w:t>
              </w:r>
            </w:hyperlink>
          </w:p>
        </w:tc>
      </w:tr>
    </w:tbl>
    <w:bookmarkEnd w:id="13"/>
    <w:bookmarkStart w:id="14" w:name="X13918ccd61158bc68fb2c044c7c8daaf9a87e12"/>
    <w:p>
      <w:pPr>
        <w:pStyle w:val="Heading3"/>
      </w:pPr>
      <w:r>
        <w:t xml:space="preserve">1.3 Définitions</w:t>
      </w:r>
    </w:p>
    <w:p>
      <w:pPr>
        <w:pStyle w:val="FirstParagraph"/>
      </w:pPr>
      <w:r>
        <w:t xml:space="preserve">Dans les présentes Conditions, les termes suivants ont la signification qui leur est donnée ci-après :</w:t>
      </w:r>
    </w:p>
    <w:p>
      <w:pPr>
        <w:pStyle w:val="Compact"/>
        <w:numPr>
          <w:ilvl w:val="0"/>
          <w:numId w:val="1001"/>
        </w:numPr>
      </w:pPr>
      <w:r>
        <w:rPr>
          <w:b/>
          <w:bCs/>
        </w:rPr>
        <w:t xml:space="preserve">« Solution » ou « TranscribIA »</w:t>
      </w:r>
      <w:r>
        <w:t xml:space="preserve"> </w:t>
      </w:r>
      <w:r>
        <w:t xml:space="preserve">: la plateforme logicielle de transcription audio intelligente éditée par OHADJA, permettant l'import de fichiers audio, leur transcription automatique, la diarisation (segmentation par locuteur), l'exploitation assistée par intelligence artificielle (correction, résumé, procès-verbal, chapitrage, suggestion d'identification de locuteurs) et l'export de documents.</w:t>
      </w:r>
    </w:p>
    <w:p>
      <w:pPr>
        <w:pStyle w:val="Compact"/>
        <w:numPr>
          <w:ilvl w:val="0"/>
          <w:numId w:val="1001"/>
        </w:numPr>
      </w:pPr>
      <w:r>
        <w:rPr>
          <w:b/>
          <w:bCs/>
        </w:rPr>
        <w:t xml:space="preserve">« Mode SaaS » (Option A)</w:t>
      </w:r>
      <w:r>
        <w:t xml:space="preserve"> </w:t>
      </w:r>
      <w:r>
        <w:t xml:space="preserve">: mise à disposition de la Solution en tant que service en ligne, hébergée et exploitée par OHADJA, accessible par abonnement.</w:t>
      </w:r>
    </w:p>
    <w:p>
      <w:pPr>
        <w:pStyle w:val="Compact"/>
        <w:numPr>
          <w:ilvl w:val="0"/>
          <w:numId w:val="1001"/>
        </w:numPr>
      </w:pPr>
      <w:r>
        <w:rPr>
          <w:b/>
          <w:bCs/>
        </w:rPr>
        <w:t xml:space="preserve">« Mode on-premise » (Option B)</w:t>
      </w:r>
      <w:r>
        <w:t xml:space="preserve"> </w:t>
      </w:r>
      <w:r>
        <w:t xml:space="preserve">: concession d'une licence d'utilisation de la Solution déployée dans l'infrastructure du Client ou dans une infrastructure désignée par lui.</w:t>
      </w:r>
    </w:p>
    <w:p>
      <w:pPr>
        <w:pStyle w:val="Compact"/>
        <w:numPr>
          <w:ilvl w:val="0"/>
          <w:numId w:val="1001"/>
        </w:numPr>
      </w:pPr>
      <w:r>
        <w:rPr>
          <w:b/>
          <w:bCs/>
        </w:rPr>
        <w:t xml:space="preserve">« Contrat »</w:t>
      </w:r>
      <w:r>
        <w:t xml:space="preserve"> </w:t>
      </w:r>
      <w:r>
        <w:t xml:space="preserve">: l'ensemble contractuel formé par le bon de commande ou devis accepté, les présentes Conditions, les éventuelles conditions particulières et leurs annexes, dont l'Accord de traitement des données à caractère personnel (ci-après le « DPA »).</w:t>
      </w:r>
    </w:p>
    <w:p>
      <w:pPr>
        <w:pStyle w:val="Compact"/>
        <w:numPr>
          <w:ilvl w:val="0"/>
          <w:numId w:val="1001"/>
        </w:numPr>
      </w:pPr>
      <w:r>
        <w:rPr>
          <w:b/>
          <w:bCs/>
        </w:rPr>
        <w:t xml:space="preserve">« Documentation »</w:t>
      </w:r>
      <w:r>
        <w:t xml:space="preserve"> </w:t>
      </w:r>
      <w:r>
        <w:t xml:space="preserve">: les documents techniques et fonctionnels décrivant la Solution et ses conditions d'utilisation, remis ou rendus accessibles au Client.</w:t>
      </w:r>
    </w:p>
    <w:p>
      <w:pPr>
        <w:pStyle w:val="Compact"/>
        <w:numPr>
          <w:ilvl w:val="0"/>
          <w:numId w:val="1001"/>
        </w:numPr>
      </w:pPr>
      <w:r>
        <w:rPr>
          <w:b/>
          <w:bCs/>
        </w:rPr>
        <w:t xml:space="preserve">« Incident »</w:t>
      </w:r>
      <w:r>
        <w:t xml:space="preserve"> </w:t>
      </w:r>
      <w:r>
        <w:t xml:space="preserve">: tout dysfonctionnement reproductible de la Solution non conforme à la Documentation.</w:t>
      </w:r>
    </w:p>
    <w:p>
      <w:pPr>
        <w:pStyle w:val="Compact"/>
        <w:numPr>
          <w:ilvl w:val="0"/>
          <w:numId w:val="1001"/>
        </w:numPr>
      </w:pPr>
      <w:r>
        <w:rPr>
          <w:b/>
          <w:bCs/>
        </w:rPr>
        <w:t xml:space="preserve">« Maintenance corrective »</w:t>
      </w:r>
      <w:r>
        <w:t xml:space="preserve"> </w:t>
      </w:r>
      <w:r>
        <w:t xml:space="preserve">: la correction des Incidents.</w:t>
      </w:r>
    </w:p>
    <w:p>
      <w:pPr>
        <w:pStyle w:val="Compact"/>
        <w:numPr>
          <w:ilvl w:val="0"/>
          <w:numId w:val="1001"/>
        </w:numPr>
      </w:pPr>
      <w:r>
        <w:rPr>
          <w:b/>
          <w:bCs/>
        </w:rPr>
        <w:t xml:space="preserve">« Maintenance évolutive »</w:t>
      </w:r>
      <w:r>
        <w:t xml:space="preserve"> </w:t>
      </w:r>
      <w:r>
        <w:t xml:space="preserve">: la fourniture de nouvelles versions, améliorations et évolutions fonctionnelles de la Solution.</w:t>
      </w:r>
    </w:p>
    <w:p>
      <w:pPr>
        <w:pStyle w:val="Compact"/>
        <w:numPr>
          <w:ilvl w:val="0"/>
          <w:numId w:val="1001"/>
        </w:numPr>
      </w:pPr>
      <w:r>
        <w:rPr>
          <w:b/>
          <w:bCs/>
        </w:rPr>
        <w:t xml:space="preserve">« Mise à jour de sécurité »</w:t>
      </w:r>
      <w:r>
        <w:t xml:space="preserve"> </w:t>
      </w:r>
      <w:r>
        <w:t xml:space="preserve">: la correction de vulnérabilités affectant la Solution ou ses composants.</w:t>
      </w:r>
    </w:p>
    <w:p>
      <w:pPr>
        <w:pStyle w:val="Compact"/>
        <w:numPr>
          <w:ilvl w:val="0"/>
          <w:numId w:val="1001"/>
        </w:numPr>
      </w:pPr>
      <w:r>
        <w:rPr>
          <w:b/>
          <w:bCs/>
        </w:rPr>
        <w:t xml:space="preserve">« Jour ouvré »</w:t>
      </w:r>
      <w:r>
        <w:t xml:space="preserve"> </w:t>
      </w:r>
      <w:r>
        <w:t xml:space="preserve">: tout jour de la semaine à l'exception des samedis, dimanches et jours fériés légaux en France.</w:t>
      </w:r>
    </w:p>
    <w:p>
      <w:pPr>
        <w:pStyle w:val="Compact"/>
        <w:numPr>
          <w:ilvl w:val="0"/>
          <w:numId w:val="1001"/>
        </w:numPr>
      </w:pPr>
      <w:r>
        <w:rPr>
          <w:b/>
          <w:bCs/>
        </w:rPr>
        <w:t xml:space="preserve">« Heure ouvrée »</w:t>
      </w:r>
      <w:r>
        <w:t xml:space="preserve"> </w:t>
      </w:r>
      <w:r>
        <w:t xml:space="preserve">: toute heure comprise dans la plage 9h00–18h00 (heure d'Europe centrale, CET/CEST) d'un Jour ouvré.</w:t>
      </w:r>
    </w:p>
    <w:p>
      <w:r>
        <w:pict>
          <v:rect style="width:0;height:1.5pt" o:hralign="center" o:hrstd="t" o:hr="t"/>
        </w:pict>
      </w:r>
    </w:p>
    <w:bookmarkEnd w:id="14"/>
    <w:bookmarkEnd w:id="15"/>
    <w:bookmarkStart w:id="20" w:name="article-2--modes-de-fourniture"/>
    <w:p>
      <w:pPr>
        <w:pStyle w:val="Heading2"/>
      </w:pPr>
      <w:r>
        <w:t xml:space="preserve">Article 2 — Modes de fourniture</w:t>
      </w:r>
    </w:p>
    <w:p>
      <w:pPr>
        <w:pStyle w:val="FirstParagraph"/>
      </w:pPr>
      <w:r>
        <w:t xml:space="preserve">La Solution est proposée selon deux modes de fourniture, exclusifs ou combinés selon la commande.</w:t>
      </w:r>
    </w:p>
    <w:bookmarkStart w:id="16" w:name="Xd1b37f610e12c897edc1ce61e5bef0271ea79ab"/>
    <w:p>
      <w:pPr>
        <w:pStyle w:val="Heading3"/>
      </w:pPr>
      <w:r>
        <w:t xml:space="preserve">2.1 Mode SaaS (Option A) — abonnement</w:t>
      </w:r>
    </w:p>
    <w:p>
      <w:pPr>
        <w:pStyle w:val="FirstParagraph"/>
      </w:pPr>
      <w:r>
        <w:t xml:space="preserve">En Mode SaaS, OHADJA met la Solution à la disposition du Client sous forme d'un service accessible à distance, hébergé et exploité par ses soins sur une infrastructure située en France (voir Article 2.3). Le Client souscrit un abonnement dont la durée, le périmètre (nombre d'organisations, d'utilisateurs, volumes de traitement) et le tarif sont définis au bon de commande.</w:t>
      </w:r>
    </w:p>
    <w:p>
      <w:pPr>
        <w:pStyle w:val="BodyText"/>
      </w:pPr>
      <w:r>
        <w:t xml:space="preserve">L'abonnement comprend l'hébergement, l'exploitation applicative, la supervision, les sauvegardes techniques, la maintenance et le support dans les conditions des présentes Conditions.</w:t>
      </w:r>
    </w:p>
    <w:bookmarkEnd w:id="16"/>
    <w:bookmarkStart w:id="17" w:name="Xfc88b1eba500b140931b7f3a307c6f84755c81f"/>
    <w:p>
      <w:pPr>
        <w:pStyle w:val="Heading3"/>
      </w:pPr>
      <w:r>
        <w:t xml:space="preserve">2.2 Mode on-premise (Option B) — licence</w:t>
      </w:r>
    </w:p>
    <w:p>
      <w:pPr>
        <w:pStyle w:val="FirstParagraph"/>
      </w:pPr>
      <w:r>
        <w:t xml:space="preserve">En Mode on-premise, OHADJA concède au Client une licence d'utilisation de la Solution, déployée sous forme de conteneurs Docker dans l'infrastructure du Client ou dans une infrastructure désignée par lui. La licence est concédée pour la durée et le périmètre définis au bon de commande.</w:t>
      </w:r>
    </w:p>
    <w:p>
      <w:pPr>
        <w:pStyle w:val="BodyText"/>
      </w:pPr>
      <w:r>
        <w:t xml:space="preserve">Dans la variante « isolée » (sans dépendance à un service en nuage), l'ensemble des composants de la Solution s'exécute dans l'infrastructure du Client, y compris le moteur de transcription et le modèle de langage auto-hébergé configuré par organisation. Aucun flux sortant n'est requis pour le fonctionnement nominal de la Solution dans cette variante.</w:t>
      </w:r>
    </w:p>
    <w:p>
      <w:pPr>
        <w:pStyle w:val="BodyText"/>
      </w:pPr>
      <w:r>
        <w:t xml:space="preserve">En Mode on-premise, le Client assure l'hébergement, l'administration de l'infrastructure, la sécurité réseau, les sauvegardes et la supervision de son environnement, sauf mission de maintenance ou d'exploitation expressément confiée à OHADJA au bon de commande.</w:t>
      </w:r>
    </w:p>
    <w:bookmarkEnd w:id="17"/>
    <w:bookmarkStart w:id="18" w:name="X620cd868255f86573729856f08d4b05334ea34f"/>
    <w:p>
      <w:pPr>
        <w:pStyle w:val="Heading3"/>
      </w:pPr>
      <w:r>
        <w:t xml:space="preserve">2.3 Localisation de l'hébergement (Mode SaaS)</w:t>
      </w:r>
    </w:p>
    <w:p>
      <w:pPr>
        <w:pStyle w:val="FirstParagraph"/>
      </w:pPr>
      <w:r>
        <w:t xml:space="preserve">En Mode SaaS, la Solution est hébergée sur une infrastructure Hostinger située dans un datacenter en France (Strasbourg). Les sauvegardes sont chiffrées avant externalisation (age, X25519 + ChaCha20-Poly1305) et conservées dans l'Union européenne, chez Scaleway (France). Le chiffrement du disque système dépend de l'offre du datacenter ; une mise à niveau (LUKS / gocryptfs) est planifiée. Les conditions détaillées de localisation, de sous-traitance ultérieure et de transferts figurent au DPA joint au Contrat.</w:t>
      </w:r>
    </w:p>
    <w:bookmarkEnd w:id="18"/>
    <w:bookmarkStart w:id="19" w:name="Xc84de25915f548014284dbc3485a2fe891f2579"/>
    <w:p>
      <w:pPr>
        <w:pStyle w:val="Heading3"/>
      </w:pPr>
      <w:r>
        <w:t xml:space="preserve">2.4 Distribution et intermédiaires agréés</w:t>
      </w:r>
    </w:p>
    <w:p>
      <w:pPr>
        <w:pStyle w:val="FirstParagraph"/>
      </w:pPr>
      <w:r>
        <w:t xml:space="preserve">Le Contrat peut être conclu</w:t>
      </w:r>
      <w:r>
        <w:t xml:space="preserve"> </w:t>
      </w:r>
      <w:r>
        <w:rPr>
          <w:b/>
          <w:bCs/>
        </w:rPr>
        <w:t xml:space="preserve">directement avec OHADJA</w:t>
      </w:r>
      <w:r>
        <w:t xml:space="preserve">, éditeur de la Solution, ou</w:t>
      </w:r>
      <w:r>
        <w:t xml:space="preserve"> </w:t>
      </w:r>
      <w:r>
        <w:rPr>
          <w:b/>
          <w:bCs/>
        </w:rPr>
        <w:t xml:space="preserve">par l'intermédiaire d'un revendeur ou distributeur agréé</w:t>
      </w:r>
      <w:r>
        <w:t xml:space="preserve">, notamment AMBASSADIA SARL (France et Monaco) ou Televic Conference France.</w:t>
      </w:r>
    </w:p>
    <w:p>
      <w:pPr>
        <w:pStyle w:val="BodyText"/>
      </w:pPr>
      <w:r>
        <w:t xml:space="preserve">Le recours à un intermédiaire agréé ne modifie ni l'identité de l'éditeur de la Solution, ni celle du</w:t>
      </w:r>
      <w:r>
        <w:t xml:space="preserve"> </w:t>
      </w:r>
      <w:r>
        <w:rPr>
          <w:b/>
          <w:bCs/>
        </w:rPr>
        <w:t xml:space="preserve">sous-traitant au sens de l'article 28 du RGPD, qui demeure OHADJA</w:t>
      </w:r>
      <w:r>
        <w:t xml:space="preserve">. Les revendeurs et distributeurs agréés interviennent au titre de la commercialisation, de l'intégration aux systèmes de conférence et de la relation client de premier niveau ; ils ne réalisent pas de traitement de données de production pour le compte du Client, sauf mission spécifique expressément convenue et encadrée contractuellement.</w:t>
      </w:r>
    </w:p>
    <w:p>
      <w:r>
        <w:pict>
          <v:rect style="width:0;height:1.5pt" o:hralign="center" o:hrstd="t" o:hr="t"/>
        </w:pict>
      </w:r>
    </w:p>
    <w:bookmarkEnd w:id="19"/>
    <w:bookmarkEnd w:id="20"/>
    <w:bookmarkStart w:id="25" w:name="article-3--commande-et-livraison"/>
    <w:p>
      <w:pPr>
        <w:pStyle w:val="Heading2"/>
      </w:pPr>
      <w:r>
        <w:t xml:space="preserve">Article 3 — Commande et livraison</w:t>
      </w:r>
    </w:p>
    <w:bookmarkStart w:id="21" w:name="X43dd320c834ca055ba327dd351bd46bcfec9061"/>
    <w:p>
      <w:pPr>
        <w:pStyle w:val="Heading3"/>
      </w:pPr>
      <w:r>
        <w:t xml:space="preserve">3.1 Formation de la commande</w:t>
      </w:r>
    </w:p>
    <w:p>
      <w:pPr>
        <w:pStyle w:val="FirstParagraph"/>
      </w:pPr>
      <w:r>
        <w:t xml:space="preserve">La commande est formée par la signature ou l'acceptation écrite, par le Client, d'un bon de commande ou d'un devis émis par OHADJA ou par un distributeur agréé. Le devis a une durée de validité de trente (30) jours calendaires, sauf mention contraire.</w:t>
      </w:r>
    </w:p>
    <w:bookmarkEnd w:id="21"/>
    <w:bookmarkStart w:id="22" w:name="X9444373bc25488c51399ba626a539feb8a1af94"/>
    <w:p>
      <w:pPr>
        <w:pStyle w:val="Heading3"/>
      </w:pPr>
      <w:r>
        <w:t xml:space="preserve">3.2 Livraison — Mode SaaS</w:t>
      </w:r>
    </w:p>
    <w:p>
      <w:pPr>
        <w:pStyle w:val="FirstParagraph"/>
      </w:pPr>
      <w:r>
        <w:t xml:space="preserve">En Mode SaaS, la livraison est réalisée par l'ouverture des accès à la Solution (création de l'organisation cliente et du compte administrateur) dans un délai de [À COMPLÉTER : délai d'ouverture de service] à compter de la validation de la commande et, le cas échéant, de l'encaissement du premier terme d'abonnement.</w:t>
      </w:r>
    </w:p>
    <w:bookmarkEnd w:id="22"/>
    <w:bookmarkStart w:id="23" w:name="X89462a0379b7571981a99a0a103e8c222066ded"/>
    <w:p>
      <w:pPr>
        <w:pStyle w:val="Heading3"/>
      </w:pPr>
      <w:r>
        <w:t xml:space="preserve">3.3 Livraison — Mode on-premise</w:t>
      </w:r>
    </w:p>
    <w:p>
      <w:pPr>
        <w:pStyle w:val="FirstParagraph"/>
      </w:pPr>
      <w:r>
        <w:t xml:space="preserve">En Mode on-premise, la livraison est réalisée par la mise à disposition des images logicielles, de la Documentation de déploiement et des clés de licence. L'installation dans l'infrastructure du Client fait l'objet, le cas échéant, d'une prestation d'implantation distincte définie au bon de commande. Les paramètres d'adressage, de VLAN et d'intégration à l'infrastructure du Client sont établis conjointement avec les équipes techniques du Client lors de la phase d'implantation.</w:t>
      </w:r>
    </w:p>
    <w:bookmarkEnd w:id="23"/>
    <w:bookmarkStart w:id="24" w:name="X31405e772d2f048c2f0b7fa20199b409cfb8474"/>
    <w:p>
      <w:pPr>
        <w:pStyle w:val="Heading3"/>
      </w:pPr>
      <w:r>
        <w:t xml:space="preserve">3.4 Réversibilité de la recette</w:t>
      </w:r>
    </w:p>
    <w:p>
      <w:pPr>
        <w:pStyle w:val="FirstParagraph"/>
      </w:pPr>
      <w:r>
        <w:t xml:space="preserve">Sauf procédure de recette expressément prévue au bon de commande, la Solution est réputée conforme et acceptée à défaut de réserve écrite et motivée du Client dans un délai de [À COMPLÉTER : délai de recette, ex. 15 jours ouvrés] à compter de la livraison.</w:t>
      </w:r>
    </w:p>
    <w:p>
      <w:r>
        <w:pict>
          <v:rect style="width:0;height:1.5pt" o:hralign="center" o:hrstd="t" o:hr="t"/>
        </w:pict>
      </w:r>
    </w:p>
    <w:bookmarkEnd w:id="24"/>
    <w:bookmarkEnd w:id="25"/>
    <w:bookmarkStart w:id="30" w:name="article-4--conditions-financières"/>
    <w:p>
      <w:pPr>
        <w:pStyle w:val="Heading2"/>
      </w:pPr>
      <w:r>
        <w:t xml:space="preserve">Article 4 — Conditions financières</w:t>
      </w:r>
    </w:p>
    <w:bookmarkStart w:id="26" w:name="X7a65ee48142714814faf1fac0c74cda3d7b89fc"/>
    <w:p>
      <w:pPr>
        <w:pStyle w:val="Heading3"/>
      </w:pPr>
      <w:r>
        <w:t xml:space="preserve">4.1 Prix</w:t>
      </w:r>
    </w:p>
    <w:p>
      <w:pPr>
        <w:pStyle w:val="FirstParagraph"/>
      </w:pPr>
      <w:r>
        <w:t xml:space="preserve">Les prix sont ceux figurant au bon de commande ou au devis accepté. Ils sont exprimés en euros et s'entendent hors taxes, la taxe sur la valeur ajoutée et toute taxe applicable étant en sus au taux en vigueur.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Élément tarifaire</w:t>
            </w:r>
          </w:p>
        </w:tc>
        <w:tc>
          <w:tcPr/>
          <w:p>
            <w:pPr>
              <w:pStyle w:val="Compact"/>
            </w:pPr>
            <w:r>
              <w:t xml:space="preserve">Base</w:t>
            </w:r>
          </w:p>
        </w:tc>
        <w:tc>
          <w:tcPr/>
          <w:p>
            <w:pPr>
              <w:pStyle w:val="Compact"/>
            </w:pPr>
            <w:r>
              <w:t xml:space="preserve">Montant</w:t>
            </w:r>
          </w:p>
        </w:tc>
      </w:tr>
      <w:tr>
        <w:tc>
          <w:tcPr/>
          <w:p>
            <w:pPr>
              <w:pStyle w:val="Compact"/>
            </w:pPr>
            <w:r>
              <w:t xml:space="preserve">Abonnement SaaS (Option A)</w:t>
            </w:r>
          </w:p>
        </w:tc>
        <w:tc>
          <w:tcPr/>
          <w:p>
            <w:pPr>
              <w:pStyle w:val="Compact"/>
            </w:pPr>
            <w:r>
              <w:t xml:space="preserve">Par [À COMPLÉTER : unité — organisation / utilisateur / palier de volume] et par période</w:t>
            </w:r>
          </w:p>
        </w:tc>
        <w:tc>
          <w:tcPr/>
          <w:p>
            <w:pPr>
              <w:pStyle w:val="Compact"/>
            </w:pPr>
            <w:r>
              <w:t xml:space="preserve">[À COMPLÉTER : montant]</w:t>
            </w:r>
          </w:p>
        </w:tc>
      </w:tr>
      <w:tr>
        <w:tc>
          <w:tcPr/>
          <w:p>
            <w:pPr>
              <w:pStyle w:val="Compact"/>
            </w:pPr>
            <w:r>
              <w:t xml:space="preserve">Licence on-premise (Option B)</w:t>
            </w:r>
          </w:p>
        </w:tc>
        <w:tc>
          <w:tcPr/>
          <w:p>
            <w:pPr>
              <w:pStyle w:val="Compact"/>
            </w:pPr>
            <w:r>
              <w:t xml:space="preserve">Par [À COMPLÉTER : unité de licence]</w:t>
            </w:r>
          </w:p>
        </w:tc>
        <w:tc>
          <w:tcPr/>
          <w:p>
            <w:pPr>
              <w:pStyle w:val="Compact"/>
            </w:pPr>
            <w:r>
              <w:t xml:space="preserve">[À COMPLÉTER : montant]</w:t>
            </w:r>
          </w:p>
        </w:tc>
      </w:tr>
      <w:tr>
        <w:tc>
          <w:tcPr/>
          <w:p>
            <w:pPr>
              <w:pStyle w:val="Compact"/>
            </w:pPr>
            <w:r>
              <w:t xml:space="preserve">Maintenance et support (Option B)</w:t>
            </w:r>
          </w:p>
        </w:tc>
        <w:tc>
          <w:tcPr/>
          <w:p>
            <w:pPr>
              <w:pStyle w:val="Compact"/>
            </w:pPr>
            <w:r>
              <w:t xml:space="preserve">Pourcentage annuel du prix de licence ou forfait</w:t>
            </w:r>
          </w:p>
        </w:tc>
        <w:tc>
          <w:tcPr/>
          <w:p>
            <w:pPr>
              <w:pStyle w:val="Compact"/>
            </w:pPr>
            <w:r>
              <w:t xml:space="preserve">[À COMPLÉTER : montant ou taux]</w:t>
            </w:r>
          </w:p>
        </w:tc>
      </w:tr>
      <w:tr>
        <w:tc>
          <w:tcPr/>
          <w:p>
            <w:pPr>
              <w:pStyle w:val="Compact"/>
            </w:pPr>
            <w:r>
              <w:t xml:space="preserve">Prestation d'implantation</w:t>
            </w:r>
          </w:p>
        </w:tc>
        <w:tc>
          <w:tcPr/>
          <w:p>
            <w:pPr>
              <w:pStyle w:val="Compact"/>
            </w:pPr>
            <w:r>
              <w:t xml:space="preserve">Forfait ou régie</w:t>
            </w:r>
          </w:p>
        </w:tc>
        <w:tc>
          <w:tcPr/>
          <w:p>
            <w:pPr>
              <w:pStyle w:val="Compact"/>
            </w:pPr>
            <w:r>
              <w:t xml:space="preserve">[À COMPLÉTER : montant]</w:t>
            </w:r>
          </w:p>
        </w:tc>
      </w:tr>
      <w:tr>
        <w:tc>
          <w:tcPr/>
          <w:p>
            <w:pPr>
              <w:pStyle w:val="Compact"/>
            </w:pPr>
            <w:r>
              <w:t xml:space="preserve">Prestations complémentaires</w:t>
            </w:r>
          </w:p>
        </w:tc>
        <w:tc>
          <w:tcPr/>
          <w:p>
            <w:pPr>
              <w:pStyle w:val="Compact"/>
            </w:pPr>
            <w:r>
              <w:t xml:space="preserve">Sur devis</w:t>
            </w:r>
          </w:p>
        </w:tc>
        <w:tc>
          <w:tcPr/>
          <w:p>
            <w:pPr>
              <w:pStyle w:val="Compact"/>
            </w:pPr>
            <w:r>
              <w:t xml:space="preserve">[À COMPLÉTER : conditions]</w:t>
            </w:r>
          </w:p>
        </w:tc>
      </w:tr>
    </w:tbl>
    <w:bookmarkEnd w:id="26"/>
    <w:bookmarkStart w:id="27" w:name="Xe7b3bd34afd2c74c6f4a3fa06951ef874be78c8"/>
    <w:p>
      <w:pPr>
        <w:pStyle w:val="Heading3"/>
      </w:pPr>
      <w:r>
        <w:t xml:space="preserve">4.2 Facturation et paiement</w:t>
      </w:r>
    </w:p>
    <w:p>
      <w:pPr>
        <w:pStyle w:val="FirstParagraph"/>
      </w:pPr>
      <w:r>
        <w:t xml:space="preserve">En Mode SaaS, l'abonnement est facturé [À COMPLÉTER : périodicité — mensuelle / trimestrielle / annuelle], à terme [À COMPLÉTER : à échoir / échu]. En Mode on-premise, la licence est facturée à la livraison et la maintenance annuelle à l'échéance de chaque période.</w:t>
      </w:r>
    </w:p>
    <w:p>
      <w:pPr>
        <w:pStyle w:val="BodyText"/>
      </w:pPr>
      <w:r>
        <w:t xml:space="preserve">Les factures sont payables à [À COMPLÉTER : délai de paiement, dans la limite légale de 60 jours à compter de la date d'émission, ou 45 jours fin de mois] par [À COMPLÉTER : moyen de paiement].</w:t>
      </w:r>
    </w:p>
    <w:bookmarkEnd w:id="27"/>
    <w:bookmarkStart w:id="28" w:name="Xb8a5ed9c1ea1f71a52285cc681b69a2726474fe"/>
    <w:p>
      <w:pPr>
        <w:pStyle w:val="Heading3"/>
      </w:pPr>
      <w:r>
        <w:t xml:space="preserve">4.3 Retard de paiement</w:t>
      </w:r>
    </w:p>
    <w:p>
      <w:pPr>
        <w:pStyle w:val="FirstParagraph"/>
      </w:pPr>
      <w:r>
        <w:t xml:space="preserve">Tout retard de paiement entraîne de plein droit, sans mise en demeure préalable, l'application de pénalités de retard calculées au taux prévu à l'article L. 441-10 du Code de commerce, ainsi que l'indemnité forfaitaire pour frais de recouvrement de quarante (40) euros. OHADJA se réserve le droit de suspendre l'accès à la Solution après mise en demeure restée sans effet pendant [À COMPLÉTER : délai].</w:t>
      </w:r>
    </w:p>
    <w:bookmarkEnd w:id="28"/>
    <w:bookmarkStart w:id="29" w:name="X6a36c543605d00afebbb6192ce2c488e6ea045a"/>
    <w:p>
      <w:pPr>
        <w:pStyle w:val="Heading3"/>
      </w:pPr>
      <w:r>
        <w:t xml:space="preserve">4.4 Révision des prix</w:t>
      </w:r>
    </w:p>
    <w:p>
      <w:pPr>
        <w:pStyle w:val="FirstParagraph"/>
      </w:pPr>
      <w:r>
        <w:t xml:space="preserve">Les prix peuvent être révisés à chaque renouvellement, moyennant un préavis écrit de [À COMPLÉTER : préavis, ex. 3 mois] avant l'échéance.</w:t>
      </w:r>
    </w:p>
    <w:p>
      <w:r>
        <w:pict>
          <v:rect style="width:0;height:1.5pt" o:hralign="center" o:hrstd="t" o:hr="t"/>
        </w:pict>
      </w:r>
    </w:p>
    <w:bookmarkEnd w:id="29"/>
    <w:bookmarkEnd w:id="30"/>
    <w:bookmarkStart w:id="35" w:name="Xe0854fd2a66c567a99cd1c0db0f3fadceac7b5a"/>
    <w:p>
      <w:pPr>
        <w:pStyle w:val="Heading2"/>
      </w:pPr>
      <w:r>
        <w:t xml:space="preserve">Article 5 — Durée, renouvellement et résiliation</w:t>
      </w:r>
    </w:p>
    <w:bookmarkStart w:id="31" w:name="X49652cce112a73bae82357e686fc2e76f2b7d01"/>
    <w:p>
      <w:pPr>
        <w:pStyle w:val="Heading3"/>
      </w:pPr>
      <w:r>
        <w:t xml:space="preserve">5.1 Durée</w:t>
      </w:r>
    </w:p>
    <w:p>
      <w:pPr>
        <w:pStyle w:val="FirstParagraph"/>
      </w:pPr>
      <w:r>
        <w:t xml:space="preserve">Le Contrat est conclu pour la durée indiquée au bon de commande. À défaut de mention, la durée initiale est de [À COMPLÉTER : durée initiale, ex. 12 mois] à compter de la livraison.</w:t>
      </w:r>
    </w:p>
    <w:bookmarkEnd w:id="31"/>
    <w:bookmarkStart w:id="32" w:name="X5ed32690737873463fea37eb4ccd0f9fe212862"/>
    <w:p>
      <w:pPr>
        <w:pStyle w:val="Heading3"/>
      </w:pPr>
      <w:r>
        <w:t xml:space="preserve">5.2 Renouvellement</w:t>
      </w:r>
    </w:p>
    <w:p>
      <w:pPr>
        <w:pStyle w:val="FirstParagraph"/>
      </w:pPr>
      <w:r>
        <w:t xml:space="preserve">Le Contrat se renouvelle par tacite reconduction pour des périodes successives de [À COMPLÉTER : durée de reconduction], sauf dénonciation par l'une des Parties adressée par écrit à l'autre moyennant un préavis de [À COMPLÉTER : préavis, ex. 3 mois] avant l'échéance en cours.</w:t>
      </w:r>
    </w:p>
    <w:bookmarkEnd w:id="32"/>
    <w:bookmarkStart w:id="33" w:name="X16661962c17eae5ab6db1bdfa24b9b48cc90354"/>
    <w:p>
      <w:pPr>
        <w:pStyle w:val="Heading3"/>
      </w:pPr>
      <w:r>
        <w:t xml:space="preserve">5.3 Résiliation pour manquement</w:t>
      </w:r>
    </w:p>
    <w:p>
      <w:pPr>
        <w:pStyle w:val="FirstParagraph"/>
      </w:pPr>
      <w:r>
        <w:t xml:space="preserve">En cas de manquement grave de l'une des Parties à ses obligations, non réparé dans un délai de trente (30) jours calendaires suivant l'envoi d'une mise en demeure écrite et motivée restée sans effet, l'autre Partie peut résilier le Contrat de plein droit, sans préjudice des dommages et intérêts éventuellement dus.</w:t>
      </w:r>
    </w:p>
    <w:bookmarkEnd w:id="33"/>
    <w:bookmarkStart w:id="34" w:name="Xe28ef8c5ae32ef1523fbf33ecb47c747365dd77"/>
    <w:p>
      <w:pPr>
        <w:pStyle w:val="Heading3"/>
      </w:pPr>
      <w:r>
        <w:t xml:space="preserve">5.4 Effets de la résiliation</w:t>
      </w:r>
    </w:p>
    <w:p>
      <w:pPr>
        <w:pStyle w:val="FirstParagraph"/>
      </w:pPr>
      <w:r>
        <w:t xml:space="preserve">La résiliation entraîne la cessation du droit d'utilisation de la Solution et met en œuvre les opérations de réversibilité prévues à l'Article 12. Les sommes dues au titre des prestations déjà exécutées restent acquises à OHADJA.</w:t>
      </w:r>
    </w:p>
    <w:p>
      <w:r>
        <w:pict>
          <v:rect style="width:0;height:1.5pt" o:hralign="center" o:hrstd="t" o:hr="t"/>
        </w:pict>
      </w:r>
    </w:p>
    <w:bookmarkEnd w:id="34"/>
    <w:bookmarkEnd w:id="35"/>
    <w:bookmarkStart w:id="41" w:name="article-6--maintenance-et-support"/>
    <w:p>
      <w:pPr>
        <w:pStyle w:val="Heading2"/>
      </w:pPr>
      <w:r>
        <w:t xml:space="preserve">Article 6 — Maintenance et support</w:t>
      </w:r>
    </w:p>
    <w:bookmarkStart w:id="36" w:name="X673e57832d50283a4fef64c8f5fdd984604e394"/>
    <w:p>
      <w:pPr>
        <w:pStyle w:val="Heading3"/>
      </w:pPr>
      <w:r>
        <w:t xml:space="preserve">6.1 Périmètre de la maintenance</w:t>
      </w:r>
    </w:p>
    <w:p>
      <w:pPr>
        <w:pStyle w:val="FirstParagraph"/>
      </w:pPr>
      <w:r>
        <w:t xml:space="preserve">Pendant la durée du Contrat, et sous réserve du paiement des sommes dues, OHADJA assure les prestations de maintenance suivantes :</w:t>
      </w:r>
    </w:p>
    <w:p>
      <w:pPr>
        <w:pStyle w:val="Compact"/>
        <w:numPr>
          <w:ilvl w:val="0"/>
          <w:numId w:val="1002"/>
        </w:numPr>
      </w:pPr>
      <w:r>
        <w:rPr>
          <w:b/>
          <w:bCs/>
        </w:rPr>
        <w:t xml:space="preserve">Maintenance corrective</w:t>
      </w:r>
      <w:r>
        <w:t xml:space="preserve"> </w:t>
      </w:r>
      <w:r>
        <w:t xml:space="preserve">: diagnostic et correction des Incidents affectant la Solution, dans les conditions de prise en compte de l'Article 6.4.</w:t>
      </w:r>
    </w:p>
    <w:p>
      <w:pPr>
        <w:pStyle w:val="Compact"/>
        <w:numPr>
          <w:ilvl w:val="0"/>
          <w:numId w:val="1002"/>
        </w:numPr>
      </w:pPr>
      <w:r>
        <w:rPr>
          <w:b/>
          <w:bCs/>
        </w:rPr>
        <w:t xml:space="preserve">Maintenance évolutive</w:t>
      </w:r>
      <w:r>
        <w:t xml:space="preserve"> </w:t>
      </w:r>
      <w:r>
        <w:t xml:space="preserve">: mise à disposition des nouvelles versions et améliorations fonctionnelles de la Solution publiées par OHADJA, sans surcoût lorsqu'elles sont comprises dans l'offre souscrite.</w:t>
      </w:r>
    </w:p>
    <w:p>
      <w:pPr>
        <w:pStyle w:val="Compact"/>
        <w:numPr>
          <w:ilvl w:val="0"/>
          <w:numId w:val="1002"/>
        </w:numPr>
      </w:pPr>
      <w:r>
        <w:rPr>
          <w:b/>
          <w:bCs/>
        </w:rPr>
        <w:t xml:space="preserve">Mises à jour de sécurité</w:t>
      </w:r>
      <w:r>
        <w:t xml:space="preserve"> </w:t>
      </w:r>
      <w:r>
        <w:t xml:space="preserve">: correction des vulnérabilités affectant la Solution et ses composants, priorisée selon leur criticité, leur exploitabilité et leur exposition.</w:t>
      </w:r>
    </w:p>
    <w:p>
      <w:pPr>
        <w:pStyle w:val="FirstParagraph"/>
      </w:pPr>
      <w:r>
        <w:t xml:space="preserve">En Mode SaaS, les mises à jour sont déployées par OHADJA sur l'environnement de production. En Mode on-premise, elles sont mises à la disposition du Client, à charge pour lui de procéder à leur déploiement effectif, sauf mission de déploiement confiée à OHADJA au bon de commande.</w:t>
      </w:r>
    </w:p>
    <w:bookmarkEnd w:id="36"/>
    <w:bookmarkStart w:id="37" w:name="X830b4979545a185e94eae7fcd8132e3f317db9a"/>
    <w:p>
      <w:pPr>
        <w:pStyle w:val="Heading3"/>
      </w:pPr>
      <w:r>
        <w:t xml:space="preserve">6.2 Exclusions de la maintenance</w:t>
      </w:r>
    </w:p>
    <w:p>
      <w:pPr>
        <w:pStyle w:val="FirstParagraph"/>
      </w:pPr>
      <w:r>
        <w:t xml:space="preserve">La maintenance ne couvre pas les dysfonctionnements résultant : d'une utilisation non conforme à la Documentation ; d'une modification de la Solution non autorisée par OHADJA ; d'un défaut de l'infrastructure, du réseau, des postes ou des logiciels tiers du Client (en Mode on-premise) ; d'un cas de force majeure ; ou du non-déploiement, par le Client, des mises à jour mises à sa disposition.</w:t>
      </w:r>
    </w:p>
    <w:bookmarkEnd w:id="37"/>
    <w:bookmarkStart w:id="38" w:name="Xb2f5fdc13a273b96bb93f053d53153c9f893f46"/>
    <w:p>
      <w:pPr>
        <w:pStyle w:val="Heading3"/>
      </w:pPr>
      <w:r>
        <w:t xml:space="preserve">6.3 Canaux et horaires du support</w:t>
      </w:r>
    </w:p>
    <w:p>
      <w:pPr>
        <w:pStyle w:val="FirstParagraph"/>
      </w:pPr>
      <w:r>
        <w:t xml:space="preserve">Le support technique est accessible par courrier électronique à l'adresse</w:t>
      </w:r>
      <w:r>
        <w:t xml:space="preserve"> </w:t>
      </w:r>
      <w:hyperlink r:id="rId11">
        <w:r>
          <w:rPr>
            <w:rStyle w:val="Hyperlink"/>
          </w:rPr>
          <w:t xml:space="preserve">support@transcribia.eu</w:t>
        </w:r>
      </w:hyperlink>
      <w:r>
        <w:t xml:space="preserve">. Les demandes sont traitées pendant les Jours ouvrés, aux Heures ouvrées (9h00–18h00, heure d'Europe centrale). Les demandes reçues en dehors de cette plage sont réputées reçues à l'ouverture du Jour ouvré suivant.</w:t>
      </w:r>
    </w:p>
    <w:bookmarkEnd w:id="38"/>
    <w:bookmarkStart w:id="39" w:name="X8ca21d31bc85988755cd74a428742f0a4c91a7d"/>
    <w:p>
      <w:pPr>
        <w:pStyle w:val="Heading3"/>
      </w:pPr>
      <w:r>
        <w:t xml:space="preserve">6.4 Engagements de prise en compte (garantie de temps d'intervention)</w:t>
      </w:r>
    </w:p>
    <w:p>
      <w:pPr>
        <w:pStyle w:val="FirstParagraph"/>
      </w:pPr>
      <w:r>
        <w:t xml:space="preserve">OHADJA propose les engagements de</w:t>
      </w:r>
      <w:r>
        <w:t xml:space="preserve"> </w:t>
      </w:r>
      <w:r>
        <w:rPr>
          <w:b/>
          <w:bCs/>
        </w:rPr>
        <w:t xml:space="preserve">prise en compte</w:t>
      </w:r>
      <w:r>
        <w:t xml:space="preserve"> </w:t>
      </w:r>
      <w:r>
        <w:t xml:space="preserve">(garantie de temps d'intervention, GTI) suivants, décomptés en Heures ou Jours ouvrés à compter de la réception de la demande qualifiée par le Client :</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Niveau de gravité</w:t>
            </w:r>
          </w:p>
        </w:tc>
        <w:tc>
          <w:tcPr/>
          <w:p>
            <w:pPr>
              <w:pStyle w:val="Compact"/>
            </w:pPr>
            <w:r>
              <w:t xml:space="preserve">Description</w:t>
            </w:r>
          </w:p>
        </w:tc>
        <w:tc>
          <w:tcPr/>
          <w:p>
            <w:pPr>
              <w:pStyle w:val="Compact"/>
            </w:pPr>
            <w:r>
              <w:t xml:space="preserve">Prise en compte proposée</w:t>
            </w:r>
          </w:p>
        </w:tc>
      </w:tr>
      <w:tr>
        <w:tc>
          <w:tcPr/>
          <w:p>
            <w:pPr>
              <w:pStyle w:val="Compact"/>
            </w:pPr>
            <w:r>
              <w:t xml:space="preserve">Bloquant</w:t>
            </w:r>
          </w:p>
        </w:tc>
        <w:tc>
          <w:tcPr/>
          <w:p>
            <w:pPr>
              <w:pStyle w:val="Compact"/>
            </w:pPr>
            <w:r>
              <w:t xml:space="preserve">La Solution est inutilisable ou une fonction essentielle est totalement indisponible, sans contournement</w:t>
            </w:r>
          </w:p>
        </w:tc>
        <w:tc>
          <w:tcPr/>
          <w:p>
            <w:pPr>
              <w:pStyle w:val="Compact"/>
            </w:pPr>
            <w:r>
              <w:t xml:space="preserve">4 heures ouvrées</w:t>
            </w:r>
          </w:p>
        </w:tc>
      </w:tr>
      <w:tr>
        <w:tc>
          <w:tcPr/>
          <w:p>
            <w:pPr>
              <w:pStyle w:val="Compact"/>
            </w:pPr>
            <w:r>
              <w:t xml:space="preserve">Majeur</w:t>
            </w:r>
          </w:p>
        </w:tc>
        <w:tc>
          <w:tcPr/>
          <w:p>
            <w:pPr>
              <w:pStyle w:val="Compact"/>
            </w:pPr>
            <w:r>
              <w:t xml:space="preserve">Une fonction importante est dégradée ou indisponible, avec contournement possible</w:t>
            </w:r>
          </w:p>
        </w:tc>
        <w:tc>
          <w:tcPr/>
          <w:p>
            <w:pPr>
              <w:pStyle w:val="Compact"/>
            </w:pPr>
            <w:r>
              <w:t xml:space="preserve">1 jour ouvré</w:t>
            </w:r>
          </w:p>
        </w:tc>
      </w:tr>
      <w:tr>
        <w:tc>
          <w:tcPr/>
          <w:p>
            <w:pPr>
              <w:pStyle w:val="Compact"/>
            </w:pPr>
            <w:r>
              <w:t xml:space="preserve">Mineur</w:t>
            </w:r>
          </w:p>
        </w:tc>
        <w:tc>
          <w:tcPr/>
          <w:p>
            <w:pPr>
              <w:pStyle w:val="Compact"/>
            </w:pPr>
            <w:r>
              <w:t xml:space="preserve">Anomalie sans impact significatif sur l'exploitation, demande d'information ou d'évolution</w:t>
            </w:r>
          </w:p>
        </w:tc>
        <w:tc>
          <w:tcPr/>
          <w:p>
            <w:pPr>
              <w:pStyle w:val="Compact"/>
            </w:pPr>
            <w:r>
              <w:t xml:space="preserve">Traitement au mieux (best-effort)</w:t>
            </w:r>
          </w:p>
        </w:tc>
      </w:tr>
    </w:tbl>
    <w:p>
      <w:pPr>
        <w:pStyle w:val="BodyText"/>
      </w:pPr>
      <w:r>
        <w:rPr>
          <w:i/>
          <w:iCs/>
        </w:rPr>
        <w:t xml:space="preserve">[Proposition standard — à ajuster commercialement.]</w:t>
      </w:r>
      <w:r>
        <w:t xml:space="preserve"> </w:t>
      </w:r>
      <w:r>
        <w:t xml:space="preserve">Les engagements ci-dessus portent sur le délai de</w:t>
      </w:r>
      <w:r>
        <w:t xml:space="preserve"> </w:t>
      </w:r>
      <w:r>
        <w:rPr>
          <w:b/>
          <w:bCs/>
        </w:rPr>
        <w:t xml:space="preserve">prise en compte</w:t>
      </w:r>
      <w:r>
        <w:t xml:space="preserve"> </w:t>
      </w:r>
      <w:r>
        <w:t xml:space="preserve">de la demande (accusé de réception qualifié et début de diagnostic), et non sur un délai garanti de résolution, la durée de résolution dépendant de la nature et de la complexité de l'Incident. La qualification du niveau de gravité est effectuée par OHADJA en concertation avec le Client sur la base d'éléments objectifs.</w:t>
      </w:r>
    </w:p>
    <w:bookmarkEnd w:id="39"/>
    <w:bookmarkStart w:id="40" w:name="Xcd695a3a3eea8e699acc22ae062ec58b1732093"/>
    <w:p>
      <w:pPr>
        <w:pStyle w:val="Heading3"/>
      </w:pPr>
      <w:r>
        <w:t xml:space="preserve">6.5 Objectifs d'exploitation et disponibilité</w:t>
      </w:r>
    </w:p>
    <w:p>
      <w:pPr>
        <w:pStyle w:val="FirstParagraph"/>
      </w:pPr>
      <w:r>
        <w:t xml:space="preserve">En Mode SaaS, OHADJA met en œuvre des moyens raisonnables pour assurer la disponibilité et la continuité de la Solution : supervision, reprise automatique des traitements bloqués, séparation des composants, sauvegardes.</w:t>
      </w:r>
    </w:p>
    <w:p>
      <w:pPr>
        <w:pStyle w:val="BodyText"/>
      </w:pPr>
      <w:r>
        <w:t xml:space="preserve">Les objectifs d'exploitation applicables au plan de continuité sont :</w:t>
      </w:r>
      <w:r>
        <w:t xml:space="preserve"> </w:t>
      </w:r>
      <w:r>
        <w:rPr>
          <w:b/>
          <w:bCs/>
        </w:rPr>
        <w:t xml:space="preserve">objectif de point de reprise (RPO) de 24 heures</w:t>
      </w:r>
      <w:r>
        <w:t xml:space="preserve"> </w:t>
      </w:r>
      <w:r>
        <w:t xml:space="preserve">et</w:t>
      </w:r>
      <w:r>
        <w:t xml:space="preserve"> </w:t>
      </w:r>
      <w:r>
        <w:rPr>
          <w:b/>
          <w:bCs/>
        </w:rPr>
        <w:t xml:space="preserve">objectif de temps de rétablissement (RTO) de 4 heures</w:t>
      </w:r>
      <w:r>
        <w:t xml:space="preserve">. Ces valeurs constituent des objectifs d'exploitation destinés à cadrer les plans de continuité, et non des engagements contractuels de résultat.</w:t>
      </w:r>
    </w:p>
    <w:p>
      <w:pPr>
        <w:pStyle w:val="BodyText"/>
      </w:pPr>
      <w:r>
        <w:rPr>
          <w:b/>
          <w:bCs/>
        </w:rPr>
        <w:t xml:space="preserve">Engagement de disponibilité contractuel : [À DÉFINIR commercialement].</w:t>
      </w:r>
      <w:r>
        <w:t xml:space="preserve"> </w:t>
      </w:r>
      <w:r>
        <w:t xml:space="preserve">Aucun taux de disponibilité garanti n'est stipulé aux présentes Conditions ; un tel engagement, s'il est convenu, fait l'objet d'une annexe de niveau de service (SLA) distincte au bon de commande.</w:t>
      </w:r>
    </w:p>
    <w:p>
      <w:r>
        <w:pict>
          <v:rect style="width:0;height:1.5pt" o:hralign="center" o:hrstd="t" o:hr="t"/>
        </w:pict>
      </w:r>
    </w:p>
    <w:bookmarkEnd w:id="40"/>
    <w:bookmarkEnd w:id="41"/>
    <w:bookmarkStart w:id="42" w:name="article-7--obligations-du-client"/>
    <w:p>
      <w:pPr>
        <w:pStyle w:val="Heading2"/>
      </w:pPr>
      <w:r>
        <w:t xml:space="preserve">Article 7 — Obligations du Client</w:t>
      </w:r>
    </w:p>
    <w:p>
      <w:pPr>
        <w:pStyle w:val="FirstParagraph"/>
      </w:pPr>
      <w:r>
        <w:t xml:space="preserve">Le Client s'engage à :</w:t>
      </w:r>
    </w:p>
    <w:p>
      <w:pPr>
        <w:pStyle w:val="Compact"/>
        <w:numPr>
          <w:ilvl w:val="0"/>
          <w:numId w:val="1003"/>
        </w:numPr>
      </w:pPr>
      <w:r>
        <w:t xml:space="preserve">utiliser la Solution conformément à la Documentation, aux présentes Conditions et à la réglementation applicable ;</w:t>
      </w:r>
    </w:p>
    <w:p>
      <w:pPr>
        <w:pStyle w:val="Compact"/>
        <w:numPr>
          <w:ilvl w:val="0"/>
          <w:numId w:val="1003"/>
        </w:numPr>
      </w:pPr>
      <w:r>
        <w:t xml:space="preserve">désigner un interlocuteur habilité pour les relations contractuelles, techniques et de support ;</w:t>
      </w:r>
    </w:p>
    <w:p>
      <w:pPr>
        <w:pStyle w:val="Compact"/>
        <w:numPr>
          <w:ilvl w:val="0"/>
          <w:numId w:val="1003"/>
        </w:numPr>
      </w:pPr>
      <w:r>
        <w:t xml:space="preserve">gérer ses propres utilisateurs, l'attribution des rôles et la protection des moyens d'authentification, et supprimer les comptes obsolètes ;</w:t>
      </w:r>
    </w:p>
    <w:p>
      <w:pPr>
        <w:pStyle w:val="Compact"/>
        <w:numPr>
          <w:ilvl w:val="0"/>
          <w:numId w:val="1003"/>
        </w:numPr>
      </w:pPr>
      <w:r>
        <w:t xml:space="preserve">ne téléverser que des contenus dont il détient les droits nécessaires et déterminer les traitements réalisés au moyen de la Solution ;</w:t>
      </w:r>
    </w:p>
    <w:p>
      <w:pPr>
        <w:pStyle w:val="Compact"/>
        <w:numPr>
          <w:ilvl w:val="0"/>
          <w:numId w:val="1003"/>
        </w:numPr>
      </w:pPr>
      <w:r>
        <w:t xml:space="preserve">en sa qualité de responsable de traitement, déterminer les finalités, les bases légales, les durées de conservation et assurer l'information des personnes concernées (voir Article 11) ;</w:t>
      </w:r>
    </w:p>
    <w:p>
      <w:pPr>
        <w:pStyle w:val="Compact"/>
        <w:numPr>
          <w:ilvl w:val="0"/>
          <w:numId w:val="1003"/>
        </w:numPr>
      </w:pPr>
      <w:r>
        <w:t xml:space="preserve">en Mode on-premise, assurer l'hébergement, l'administration, la sécurité, les sauvegardes et la supervision de son environnement, ainsi que le déploiement des mises à jour mises à sa disposition ;</w:t>
      </w:r>
    </w:p>
    <w:p>
      <w:pPr>
        <w:pStyle w:val="Compact"/>
        <w:numPr>
          <w:ilvl w:val="0"/>
          <w:numId w:val="1003"/>
        </w:numPr>
      </w:pPr>
      <w:r>
        <w:t xml:space="preserve">s'acquitter des sommes dues aux échéances convenues.</w:t>
      </w:r>
    </w:p>
    <w:p>
      <w:r>
        <w:pict>
          <v:rect style="width:0;height:1.5pt" o:hralign="center" o:hrstd="t" o:hr="t"/>
        </w:pict>
      </w:r>
    </w:p>
    <w:bookmarkEnd w:id="42"/>
    <w:bookmarkStart w:id="46" w:name="article-8--propriété-intellectuelle"/>
    <w:p>
      <w:pPr>
        <w:pStyle w:val="Heading2"/>
      </w:pPr>
      <w:r>
        <w:t xml:space="preserve">Article 8 — Propriété intellectuelle</w:t>
      </w:r>
    </w:p>
    <w:bookmarkStart w:id="43" w:name="Xdb6c9f18f52406e0a3aeb8932bb1097c849f525"/>
    <w:p>
      <w:pPr>
        <w:pStyle w:val="Heading3"/>
      </w:pPr>
      <w:r>
        <w:t xml:space="preserve">8.1 Titularité</w:t>
      </w:r>
    </w:p>
    <w:p>
      <w:pPr>
        <w:pStyle w:val="FirstParagraph"/>
      </w:pPr>
      <w:r>
        <w:t xml:space="preserve">La Solution, ses composants logiciels, son code source, ses interfaces, sa Documentation et l'ensemble des droits de propriété intellectuelle y afférents demeurent la propriété exclusive d'OHADJA ou de ses concédants. Les présentes Conditions n'emportent</w:t>
      </w:r>
      <w:r>
        <w:t xml:space="preserve"> </w:t>
      </w:r>
      <w:r>
        <w:rPr>
          <w:b/>
          <w:bCs/>
        </w:rPr>
        <w:t xml:space="preserve">aucune cession</w:t>
      </w:r>
      <w:r>
        <w:t xml:space="preserve"> </w:t>
      </w:r>
      <w:r>
        <w:t xml:space="preserve">de droit de propriété intellectuelle au profit du Client.</w:t>
      </w:r>
    </w:p>
    <w:bookmarkEnd w:id="43"/>
    <w:bookmarkStart w:id="44" w:name="X23e72cf2dfa34ed7f0b7cccaffd4dea4d0da1dc"/>
    <w:p>
      <w:pPr>
        <w:pStyle w:val="Heading3"/>
      </w:pPr>
      <w:r>
        <w:t xml:space="preserve">8.2 Licence d'utilisation</w:t>
      </w:r>
    </w:p>
    <w:p>
      <w:pPr>
        <w:pStyle w:val="FirstParagraph"/>
      </w:pPr>
      <w:r>
        <w:t xml:space="preserve">OHADJA concède au Client, pour la durée du Contrat, un droit d'utilisation de la Solution non exclusif, non cessible et non transférable, limité aux besoins internes du Client et au périmètre défini au bon de commande. Le Client s'interdit de copier, décompiler (hors cas légalement autorisés d'interopérabilité), modifier, adapter, distribuer ou mettre à disposition de tiers la Solution, en tout ou partie, en dehors des droits expressément concédés.</w:t>
      </w:r>
    </w:p>
    <w:bookmarkEnd w:id="44"/>
    <w:bookmarkStart w:id="45" w:name="X7543e65181d4e5fb2ed4e9ea316659a0c55d9fe"/>
    <w:p>
      <w:pPr>
        <w:pStyle w:val="Heading3"/>
      </w:pPr>
      <w:r>
        <w:t xml:space="preserve">8.3 Données et contenus du Client</w:t>
      </w:r>
    </w:p>
    <w:p>
      <w:pPr>
        <w:pStyle w:val="FirstParagraph"/>
      </w:pPr>
      <w:r>
        <w:t xml:space="preserve">Les données, fichiers et contenus téléversés ou produits par le Client au moyen de la Solution demeurent la propriété du Client ou des ayants droit concernés. OHADJA n'acquiert aucun droit sur ces contenus, hormis le droit de les traiter pour les seuls besoins de la fourniture du Service et sur instruction du Client, dans les conditions du DPA.</w:t>
      </w:r>
    </w:p>
    <w:p>
      <w:r>
        <w:pict>
          <v:rect style="width:0;height:1.5pt" o:hralign="center" o:hrstd="t" o:hr="t"/>
        </w:pict>
      </w:r>
    </w:p>
    <w:bookmarkEnd w:id="45"/>
    <w:bookmarkEnd w:id="46"/>
    <w:bookmarkStart w:id="50" w:name="article-9--garanties-et-responsabilité"/>
    <w:p>
      <w:pPr>
        <w:pStyle w:val="Heading2"/>
      </w:pPr>
      <w:r>
        <w:t xml:space="preserve">Article 9 — Garanties et responsabilité</w:t>
      </w:r>
    </w:p>
    <w:bookmarkStart w:id="47" w:name="X0b8e400bf6a0a70396db777e88e8d798a868c12"/>
    <w:p>
      <w:pPr>
        <w:pStyle w:val="Heading3"/>
      </w:pPr>
      <w:r>
        <w:t xml:space="preserve">9.1 Garantie de conformité</w:t>
      </w:r>
    </w:p>
    <w:p>
      <w:pPr>
        <w:pStyle w:val="FirstParagraph"/>
      </w:pPr>
      <w:r>
        <w:t xml:space="preserve">OHADJA garantit que la Solution est substantiellement conforme à la Documentation. Cette garantie s'exerce par la voie de la maintenance corrective (Article 6). Elle ne s'applique pas aux dysfonctionnements relevant des exclusions de l'Article 6.2.</w:t>
      </w:r>
    </w:p>
    <w:p>
      <w:pPr>
        <w:pStyle w:val="BodyText"/>
      </w:pPr>
      <w:r>
        <w:t xml:space="preserve">La Solution est fournie en l'état de l'art ; OHADJA ne garantit pas que la transcription automatique et les traitements assistés par intelligence artificielle sont exempts d'erreurs. Les résultats produits par l'intelligence artificielle constituent des suggestions, qui doivent faire l'objet d'une validation humaine par le Client avant tout usage (voir également Article 11).</w:t>
      </w:r>
    </w:p>
    <w:bookmarkEnd w:id="47"/>
    <w:bookmarkStart w:id="48" w:name="X0ad58a635193231982d26b1a55fb3177fe222b4"/>
    <w:p>
      <w:pPr>
        <w:pStyle w:val="Heading3"/>
      </w:pPr>
      <w:r>
        <w:t xml:space="preserve">9.2 Responsabilité</w:t>
      </w:r>
    </w:p>
    <w:p>
      <w:pPr>
        <w:pStyle w:val="FirstParagraph"/>
      </w:pPr>
      <w:r>
        <w:t xml:space="preserve">Chaque Partie est responsable des dommages directs causés à l'autre du fait d'un manquement prouvé à ses obligations contractuelles.</w:t>
      </w:r>
    </w:p>
    <w:p>
      <w:pPr>
        <w:pStyle w:val="BodyText"/>
      </w:pPr>
      <w:r>
        <w:t xml:space="preserve">La responsabilité globale d'OHADJA, tous préjudices et toutes causes confondus, au titre du Contrat, est plafonnée à</w:t>
      </w:r>
      <w:r>
        <w:t xml:space="preserve"> </w:t>
      </w:r>
      <w:r>
        <w:rPr>
          <w:b/>
          <w:bCs/>
        </w:rPr>
        <w:t xml:space="preserve">[À COMPLÉTER : plafond de responsabilité, ex. montant des sommes versées par le Client au titre des douze (12) mois précédant le fait générateur]</w:t>
      </w:r>
      <w:r>
        <w:t xml:space="preserve">.</w:t>
      </w:r>
    </w:p>
    <w:p>
      <w:pPr>
        <w:pStyle w:val="BodyText"/>
      </w:pPr>
      <w:r>
        <w:t xml:space="preserve">Sont exclus de toute indemnisation les dommages indirects, notamment : perte d'exploitation, perte de chiffre d'affaires, perte de données non imputable à un manquement d'OHADJA, perte de clientèle, atteinte à l'image ou préjudice commercial.</w:t>
      </w:r>
    </w:p>
    <w:bookmarkEnd w:id="48"/>
    <w:bookmarkStart w:id="49" w:name="X1ab4bdd050dbff59b5dd52c5ce452ee2ff9286c"/>
    <w:p>
      <w:pPr>
        <w:pStyle w:val="Heading3"/>
      </w:pPr>
      <w:r>
        <w:t xml:space="preserve">9.3 Exclusions de plafond</w:t>
      </w:r>
    </w:p>
    <w:p>
      <w:pPr>
        <w:pStyle w:val="FirstParagraph"/>
      </w:pPr>
      <w:r>
        <w:t xml:space="preserve">Les plafonds et exclusions de l'Article 9.2 ne s'appliquent pas en cas de dol, de faute lourde, de manquement à l'obligation de confidentialité, d'atteinte aux droits de propriété intellectuelle, ou dans les cas où la loi interdit une telle limitation.</w:t>
      </w:r>
    </w:p>
    <w:p>
      <w:r>
        <w:pict>
          <v:rect style="width:0;height:1.5pt" o:hralign="center" o:hrstd="t" o:hr="t"/>
        </w:pict>
      </w:r>
    </w:p>
    <w:bookmarkEnd w:id="49"/>
    <w:bookmarkEnd w:id="50"/>
    <w:bookmarkStart w:id="51" w:name="article-10--confidentialité"/>
    <w:p>
      <w:pPr>
        <w:pStyle w:val="Heading2"/>
      </w:pPr>
      <w:r>
        <w:t xml:space="preserve">Article 10 — Confidentialité</w:t>
      </w:r>
    </w:p>
    <w:p>
      <w:pPr>
        <w:pStyle w:val="FirstParagraph"/>
      </w:pPr>
      <w:r>
        <w:t xml:space="preserve">Chaque Partie s'engage à préserver la confidentialité des informations non publiques de l'autre Partie auxquelles elle accède dans le cadre du Contrat, à ne les utiliser que pour l'exécution du Contrat et à ne pas les divulguer à des tiers sans autorisation écrite, sauf obligation légale.</w:t>
      </w:r>
    </w:p>
    <w:p>
      <w:pPr>
        <w:pStyle w:val="BodyText"/>
      </w:pPr>
      <w:r>
        <w:t xml:space="preserve">Cette obligation s'applique pendant toute la durée du Contrat et survit pendant [À COMPLÉTER : durée, ex. 5 ans] à compter de son terme. Ne sont pas couvertes les informations publiques, celles déjà connues de la Partie réceptrice sans obligation de confidentialité, ou développées de manière indépendante.</w:t>
      </w:r>
    </w:p>
    <w:p>
      <w:pPr>
        <w:pStyle w:val="BodyText"/>
      </w:pPr>
      <w:r>
        <w:t xml:space="preserve">Les obligations relatives aux données à caractère personnel sont régies par l'Article 11 et le DPA, qui prévalent sur le présent Article pour ce qui les concerne.</w:t>
      </w:r>
    </w:p>
    <w:p>
      <w:r>
        <w:pict>
          <v:rect style="width:0;height:1.5pt" o:hralign="center" o:hrstd="t" o:hr="t"/>
        </w:pict>
      </w:r>
    </w:p>
    <w:bookmarkEnd w:id="51"/>
    <w:bookmarkStart w:id="52" w:name="X77a4dab9227de10d97e2d40aab3b65bdd005a15"/>
    <w:p>
      <w:pPr>
        <w:pStyle w:val="Heading2"/>
      </w:pPr>
      <w:r>
        <w:t xml:space="preserve">Article 11 — Données à caractère personnel</w:t>
      </w:r>
    </w:p>
    <w:p>
      <w:pPr>
        <w:pStyle w:val="FirstParagraph"/>
      </w:pPr>
      <w:r>
        <w:t xml:space="preserve">Dans le cadre de la fourniture de la Solution, OHADJA agit en qualité de</w:t>
      </w:r>
      <w:r>
        <w:t xml:space="preserve"> </w:t>
      </w:r>
      <w:r>
        <w:rPr>
          <w:b/>
          <w:bCs/>
        </w:rPr>
        <w:t xml:space="preserve">sous-traitant</w:t>
      </w:r>
      <w:r>
        <w:t xml:space="preserve"> </w:t>
      </w:r>
      <w:r>
        <w:t xml:space="preserve">au sens de l'article 28 du Règlement (UE) 2016/679 (RGPD), le Client agissant en qualité de</w:t>
      </w:r>
      <w:r>
        <w:t xml:space="preserve"> </w:t>
      </w:r>
      <w:r>
        <w:rPr>
          <w:b/>
          <w:bCs/>
        </w:rPr>
        <w:t xml:space="preserve">responsable du traitement</w:t>
      </w:r>
      <w:r>
        <w:t xml:space="preserve">.</w:t>
      </w:r>
    </w:p>
    <w:p>
      <w:pPr>
        <w:pStyle w:val="BodyText"/>
      </w:pPr>
      <w:r>
        <w:t xml:space="preserve">Les conditions du traitement des données à caractère personnel — instructions documentées, confidentialité, mesures techniques et organisationnelles (article 32), recours aux sous-traitants ultérieurs, transferts, notification des violations, assistance à l'exercice des droits, audit, restitution et suppression — sont régies par l'</w:t>
      </w:r>
      <w:r>
        <w:rPr>
          <w:b/>
          <w:bCs/>
        </w:rPr>
        <w:t xml:space="preserve">Accord de traitement des données à caractère personnel (DPA, article 28 RGPD)</w:t>
      </w:r>
      <w:r>
        <w:t xml:space="preserve"> </w:t>
      </w:r>
      <w:r>
        <w:t xml:space="preserve">joint au Contrat, qui en fait partie intégrante.</w:t>
      </w:r>
    </w:p>
    <w:p>
      <w:pPr>
        <w:pStyle w:val="BodyText"/>
      </w:pPr>
      <w:r>
        <w:t xml:space="preserve">En cas de contradiction entre les présentes Conditions et le DPA relative à la protection des données à caractère personnel, les stipulations du DPA prévalent.</w:t>
      </w:r>
    </w:p>
    <w:p>
      <w:pPr>
        <w:pStyle w:val="BodyText"/>
      </w:pPr>
      <w:r>
        <w:t xml:space="preserve">Le Client demeure responsable de la licéité des traitements, de la détermination des finalités et des bases légales, de l'information des personnes concernées, de la gestion de leurs droits et, le cas échéant, de la réalisation d'une analyse d'impact relative à la protection des données (article 35 RGPD).</w:t>
      </w:r>
    </w:p>
    <w:p>
      <w:r>
        <w:pict>
          <v:rect style="width:0;height:1.5pt" o:hralign="center" o:hrstd="t" o:hr="t"/>
        </w:pict>
      </w:r>
    </w:p>
    <w:bookmarkEnd w:id="52"/>
    <w:bookmarkStart w:id="53" w:name="article-12--réversibilité"/>
    <w:p>
      <w:pPr>
        <w:pStyle w:val="Heading2"/>
      </w:pPr>
      <w:r>
        <w:t xml:space="preserve">Article 12 — Réversibilité</w:t>
      </w:r>
    </w:p>
    <w:p>
      <w:pPr>
        <w:pStyle w:val="FirstParagraph"/>
      </w:pPr>
      <w:r>
        <w:t xml:space="preserve">À la fin du Contrat, quelle qu'en soit la cause, OHADJA met en œuvre les opérations de réversibilité prévues au</w:t>
      </w:r>
      <w:r>
        <w:t xml:space="preserve"> </w:t>
      </w:r>
      <w:r>
        <w:rPr>
          <w:b/>
          <w:bCs/>
        </w:rPr>
        <w:t xml:space="preserve">paragraphe 11 du DPA</w:t>
      </w:r>
      <w:r>
        <w:t xml:space="preserve"> </w:t>
      </w:r>
      <w:r>
        <w:t xml:space="preserve">:</w:t>
      </w:r>
    </w:p>
    <w:p>
      <w:pPr>
        <w:pStyle w:val="Compact"/>
        <w:numPr>
          <w:ilvl w:val="0"/>
          <w:numId w:val="1004"/>
        </w:numPr>
      </w:pPr>
      <w:r>
        <w:rPr>
          <w:b/>
          <w:bCs/>
        </w:rPr>
        <w:t xml:space="preserve">Restitution</w:t>
      </w:r>
      <w:r>
        <w:t xml:space="preserve"> </w:t>
      </w:r>
      <w:r>
        <w:t xml:space="preserve">: mise à disposition du Client des données exportables dans un format standard disponible dans la Solution (export complet par organisation, signé). Le Client peut également réaliser cet export en libre-service depuis la Solution avant le terme.</w:t>
      </w:r>
    </w:p>
    <w:p>
      <w:pPr>
        <w:pStyle w:val="Compact"/>
        <w:numPr>
          <w:ilvl w:val="0"/>
          <w:numId w:val="1004"/>
        </w:numPr>
      </w:pPr>
      <w:r>
        <w:rPr>
          <w:b/>
          <w:bCs/>
        </w:rPr>
        <w:t xml:space="preserve">Suppression</w:t>
      </w:r>
      <w:r>
        <w:t xml:space="preserve"> </w:t>
      </w:r>
      <w:r>
        <w:t xml:space="preserve">: suppression des données de production du Client dans un délai maximum de</w:t>
      </w:r>
      <w:r>
        <w:t xml:space="preserve"> </w:t>
      </w:r>
      <w:r>
        <w:rPr>
          <w:b/>
          <w:bCs/>
        </w:rPr>
        <w:t xml:space="preserve">trente (30) jours calendaires</w:t>
      </w:r>
      <w:r>
        <w:t xml:space="preserve"> </w:t>
      </w:r>
      <w:r>
        <w:t xml:space="preserve">suivant la fin effective du Contrat ou la réception de l'instruction écrite de suppression, la date la plus tardive étant retenue.</w:t>
      </w:r>
    </w:p>
    <w:p>
      <w:pPr>
        <w:pStyle w:val="Compact"/>
        <w:numPr>
          <w:ilvl w:val="0"/>
          <w:numId w:val="1004"/>
        </w:numPr>
      </w:pPr>
      <w:r>
        <w:rPr>
          <w:b/>
          <w:bCs/>
        </w:rPr>
        <w:t xml:space="preserve">Purge des sauvegardes</w:t>
      </w:r>
      <w:r>
        <w:t xml:space="preserve"> </w:t>
      </w:r>
      <w:r>
        <w:t xml:space="preserve">: purge des sauvegardes techniques résiduelles selon leur cycle normal de rotation, dans un délai maximum de</w:t>
      </w:r>
      <w:r>
        <w:t xml:space="preserve"> </w:t>
      </w:r>
      <w:r>
        <w:rPr>
          <w:b/>
          <w:bCs/>
        </w:rPr>
        <w:t xml:space="preserve">quatre-vingt-dix (90) jours calendaires</w:t>
      </w:r>
      <w:r>
        <w:t xml:space="preserve">.</w:t>
      </w:r>
    </w:p>
    <w:p>
      <w:pPr>
        <w:pStyle w:val="Compact"/>
        <w:numPr>
          <w:ilvl w:val="0"/>
          <w:numId w:val="1004"/>
        </w:numPr>
      </w:pPr>
      <w:r>
        <w:rPr>
          <w:b/>
          <w:bCs/>
        </w:rPr>
        <w:t xml:space="preserve">Certificat</w:t>
      </w:r>
      <w:r>
        <w:t xml:space="preserve"> </w:t>
      </w:r>
      <w:r>
        <w:t xml:space="preserve">: sur demande écrite, remise d'un certificat de suppression ou de restitution dans un délai de trente (30) jours calendaires après l'achèvement de l'opération concernée.</w:t>
      </w:r>
    </w:p>
    <w:p>
      <w:pPr>
        <w:pStyle w:val="FirstParagraph"/>
      </w:pPr>
      <w:r>
        <w:t xml:space="preserve">Les objectifs d'exploitation liés au plan de continuité (RPO 24 heures / RTO 4 heures) sont rappelés à l'Article 6.5. Aucun engagement de disponibilité contractuel n'est stipulé aux présentes ; il reste à définir commercialement le cas échéant.</w:t>
      </w:r>
    </w:p>
    <w:p>
      <w:r>
        <w:pict>
          <v:rect style="width:0;height:1.5pt" o:hralign="center" o:hrstd="t" o:hr="t"/>
        </w:pict>
      </w:r>
    </w:p>
    <w:bookmarkEnd w:id="53"/>
    <w:bookmarkStart w:id="54" w:name="article-13--force-majeure"/>
    <w:p>
      <w:pPr>
        <w:pStyle w:val="Heading2"/>
      </w:pPr>
      <w:r>
        <w:t xml:space="preserve">Article 13 — Force majeure</w:t>
      </w:r>
    </w:p>
    <w:p>
      <w:pPr>
        <w:pStyle w:val="FirstParagraph"/>
      </w:pPr>
      <w:r>
        <w:t xml:space="preserve">Aucune des Parties ne pourra être tenue responsable d'un manquement à ses obligations résultant d'un cas de force majeure au sens de l'article 1218 du Code civil et de la jurisprudence des tribunaux français.</w:t>
      </w:r>
    </w:p>
    <w:p>
      <w:pPr>
        <w:pStyle w:val="BodyText"/>
      </w:pPr>
      <w:r>
        <w:t xml:space="preserve">La Partie affectée en informe l'autre sans délai. Les obligations affectées sont suspendues pendant la durée de l'événement. Si le cas de force majeure se prolonge au-delà de [À COMPLÉTER : durée, ex. 60 jours], chaque Partie pourra résilier le Contrat de plein droit, sans indemnité, par lettre recommandée avec accusé de réception.</w:t>
      </w:r>
    </w:p>
    <w:p>
      <w:r>
        <w:pict>
          <v:rect style="width:0;height:1.5pt" o:hralign="center" o:hrstd="t" o:hr="t"/>
        </w:pict>
      </w:r>
    </w:p>
    <w:bookmarkEnd w:id="54"/>
    <w:bookmarkStart w:id="55" w:name="Xc4b392dafc8714d4a4ae6a67b462422fb2e378b"/>
    <w:p>
      <w:pPr>
        <w:pStyle w:val="Heading2"/>
      </w:pPr>
      <w:r>
        <w:t xml:space="preserve">Article 14 — Droit applicable et juridiction</w:t>
      </w:r>
    </w:p>
    <w:p>
      <w:pPr>
        <w:pStyle w:val="FirstParagraph"/>
      </w:pPr>
      <w:r>
        <w:t xml:space="preserve">Les présentes Conditions sont régies par le</w:t>
      </w:r>
      <w:r>
        <w:t xml:space="preserve"> </w:t>
      </w:r>
      <w:r>
        <w:rPr>
          <w:b/>
          <w:bCs/>
        </w:rPr>
        <w:t xml:space="preserve">droit français</w:t>
      </w:r>
      <w:r>
        <w:t xml:space="preserve">.</w:t>
      </w:r>
    </w:p>
    <w:p>
      <w:pPr>
        <w:pStyle w:val="BodyText"/>
      </w:pPr>
      <w:r>
        <w:t xml:space="preserve">Tout différend relatif à leur validité, leur interprétation, leur exécution ou leur résiliation, à défaut de résolution amiable, relève de la compétence exclusive des</w:t>
      </w:r>
      <w:r>
        <w:t xml:space="preserve"> </w:t>
      </w:r>
      <w:r>
        <w:rPr>
          <w:b/>
          <w:bCs/>
        </w:rPr>
        <w:t xml:space="preserve">juridictions de Paris</w:t>
      </w:r>
      <w:r>
        <w:t xml:space="preserve">, sauf disposition impérative contraire applicable au Client, notamment lorsque celui-ci est une personne publique.</w:t>
      </w:r>
    </w:p>
    <w:p>
      <w:r>
        <w:pict>
          <v:rect style="width:0;height:1.5pt" o:hralign="center" o:hrstd="t" o:hr="t"/>
        </w:pict>
      </w:r>
    </w:p>
    <w:bookmarkEnd w:id="55"/>
    <w:bookmarkStart w:id="56" w:name="article-15--stipulations-diverses"/>
    <w:p>
      <w:pPr>
        <w:pStyle w:val="Heading2"/>
      </w:pPr>
      <w:r>
        <w:t xml:space="preserve">Article 15 — Stipulations diverses</w:t>
      </w:r>
    </w:p>
    <w:p>
      <w:pPr>
        <w:pStyle w:val="Compact"/>
        <w:numPr>
          <w:ilvl w:val="0"/>
          <w:numId w:val="1005"/>
        </w:numPr>
      </w:pPr>
      <w:r>
        <w:rPr>
          <w:b/>
          <w:bCs/>
        </w:rPr>
        <w:t xml:space="preserve">Intégralité</w:t>
      </w:r>
      <w:r>
        <w:t xml:space="preserve"> </w:t>
      </w:r>
      <w:r>
        <w:t xml:space="preserve">: le Contrat exprime l'intégralité de l'accord des Parties sur son objet et prévaut sur tout échange antérieur.</w:t>
      </w:r>
    </w:p>
    <w:p>
      <w:pPr>
        <w:pStyle w:val="Compact"/>
        <w:numPr>
          <w:ilvl w:val="0"/>
          <w:numId w:val="1005"/>
        </w:numPr>
      </w:pPr>
      <w:r>
        <w:rPr>
          <w:b/>
          <w:bCs/>
        </w:rPr>
        <w:t xml:space="preserve">Nullité partielle</w:t>
      </w:r>
      <w:r>
        <w:t xml:space="preserve"> </w:t>
      </w:r>
      <w:r>
        <w:t xml:space="preserve">: si une stipulation est déclarée nulle ou inapplicable, les autres demeurent en vigueur ; les Parties la remplacent par une stipulation d'effet équivalent.</w:t>
      </w:r>
    </w:p>
    <w:p>
      <w:pPr>
        <w:pStyle w:val="Compact"/>
        <w:numPr>
          <w:ilvl w:val="0"/>
          <w:numId w:val="1005"/>
        </w:numPr>
      </w:pPr>
      <w:r>
        <w:rPr>
          <w:b/>
          <w:bCs/>
        </w:rPr>
        <w:t xml:space="preserve">Non-renonciation</w:t>
      </w:r>
      <w:r>
        <w:t xml:space="preserve"> </w:t>
      </w:r>
      <w:r>
        <w:t xml:space="preserve">: le fait pour une Partie de ne pas se prévaloir d'un manquement ne vaut pas renonciation à s'en prévaloir ultérieurement.</w:t>
      </w:r>
    </w:p>
    <w:p>
      <w:pPr>
        <w:pStyle w:val="Compact"/>
        <w:numPr>
          <w:ilvl w:val="0"/>
          <w:numId w:val="1005"/>
        </w:numPr>
      </w:pPr>
      <w:r>
        <w:rPr>
          <w:b/>
          <w:bCs/>
        </w:rPr>
        <w:t xml:space="preserve">Cession</w:t>
      </w:r>
      <w:r>
        <w:t xml:space="preserve"> </w:t>
      </w:r>
      <w:r>
        <w:t xml:space="preserve">: le Contrat ne peut être cédé par le Client sans l'accord écrit préalable d'OHADJA.</w:t>
      </w:r>
    </w:p>
    <w:p>
      <w:pPr>
        <w:pStyle w:val="Compact"/>
        <w:numPr>
          <w:ilvl w:val="0"/>
          <w:numId w:val="1005"/>
        </w:numPr>
      </w:pPr>
      <w:r>
        <w:rPr>
          <w:b/>
          <w:bCs/>
        </w:rPr>
        <w:t xml:space="preserve">Modification</w:t>
      </w:r>
      <w:r>
        <w:t xml:space="preserve"> </w:t>
      </w:r>
      <w:r>
        <w:t xml:space="preserve">: toute modification fait l'objet d'un avenant écrit accepté par les Parties.</w:t>
      </w:r>
    </w:p>
    <w:p>
      <w:r>
        <w:pict>
          <v:rect style="width:0;height:1.5pt" o:hralign="center" o:hrstd="t" o:hr="t"/>
        </w:pict>
      </w:r>
    </w:p>
    <w:p>
      <w:pPr>
        <w:pStyle w:val="FirstParagraph"/>
      </w:pPr>
      <w:r>
        <w:rPr>
          <w:i/>
          <w:iCs/>
        </w:rPr>
        <w:t xml:space="preserve">Document de travail établi par OHADJA — à faire valider par votre conseil juridique / DPO avant signature.</w:t>
      </w:r>
    </w:p>
    <w:bookmarkEnd w:id="56"/>
    <w:bookmarkEnd w:id="5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mailto:contact@transcribia.eu" TargetMode="External" /><Relationship Type="http://schemas.openxmlformats.org/officeDocument/2006/relationships/hyperlink" Id="rId12" Target="mailto:privacy@transcribia.eu" TargetMode="External" /><Relationship Type="http://schemas.openxmlformats.org/officeDocument/2006/relationships/hyperlink" Id="rId11" Target="mailto:support@transcribia.eu" TargetMode="External" /></Relationships>
</file>

<file path=word/_rels/footnotes.xml.rels><?xml version="1.0" encoding="UTF-8"?><Relationships xmlns="http://schemas.openxmlformats.org/package/2006/relationships"><Relationship Type="http://schemas.openxmlformats.org/officeDocument/2006/relationships/hyperlink" Id="rId10" Target="mailto:contact@transcribia.eu" TargetMode="External" /><Relationship Type="http://schemas.openxmlformats.org/officeDocument/2006/relationships/hyperlink" Id="rId12" Target="mailto:privacy@transcribia.eu" TargetMode="External" /><Relationship Type="http://schemas.openxmlformats.org/officeDocument/2006/relationships/hyperlink" Id="rId11" Target="mailto:support@transcribia.e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2026-07-25T09:45:09Z</dcterms:created>
  <dcterms:modified xsi:type="dcterms:W3CDTF">2026-07-25T09:45:09Z</dcterms:modified>
</cp:coreProperties>
</file>

<file path=docProps/custom.xml><?xml version="1.0" encoding="utf-8"?>
<Properties xmlns="http://schemas.openxmlformats.org/officeDocument/2006/custom-properties" xmlns:vt="http://schemas.openxmlformats.org/officeDocument/2006/docPropsVTypes"/>
</file>