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56.png" ContentType="image/png"/>
  <Override PartName="/word/media/rId73.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"1-1" \h \z \u</w:instrText>
            <w:fldChar w:fldCharType="separate"/>
            <w:fldChar w:fldCharType="end"/>
          </w:r>
        </w:p>
      </w:sdtContent>
    </w:sdt>
    <w:bookmarkStart w:id="10" w:name="X0d016d8dcf8a6157758ba28e359e61c058e847f"/>
    <w:p>
      <w:pPr>
        <w:pStyle w:val="Heading1"/>
      </w:pPr>
      <w:r>
        <w:t xml:space="preserve">TranscribIA — Recueil RGPD &amp; protection des données</w:t>
      </w:r>
    </w:p>
    <w:p>
      <w:pPr>
        <w:pStyle w:val="FirstParagraph"/>
      </w:pPr>
      <w:r>
        <w:rPr>
          <w:b/>
          <w:bCs/>
        </w:rPr>
        <w:t xml:space="preserve">Éditeur : OHADJA</w:t>
      </w:r>
      <w:r>
        <w:t xml:space="preserve"> </w:t>
      </w:r>
      <w:r>
        <w:t xml:space="preserve">— SAS, 992 146 480 R.C.S. Paris, 60 rue François Ier, 75008 Paris · Contact protection des données :</w:t>
      </w:r>
      <w:r>
        <w:t xml:space="preserve"> </w:t>
      </w:r>
      <w:hyperlink r:id="rId9">
        <w:r>
          <w:rPr>
            <w:rStyle w:val="Hyperlink"/>
          </w:rPr>
          <w:t xml:space="preserve">privacy@transcribia.eu</w:t>
        </w:r>
      </w:hyperlink>
    </w:p>
    <w:p>
      <w:pPr>
        <w:pStyle w:val="BodyText"/>
      </w:pPr>
      <w:r>
        <w:rPr>
          <w:i/>
          <w:iCs/>
        </w:rPr>
        <w:t xml:space="preserve">Recueil version 1.0 du 2026-07-25 — Public. Chaque chapitre est également disponible en document séparé sur demande.</w:t>
      </w:r>
    </w:p>
    <w:p>
      <w:r>
        <w:br w:type="page"/>
      </w:r>
    </w:p>
    <w:bookmarkEnd w:id="10"/>
    <w:bookmarkStart w:id="26" w:name="fiche-de-conformité-rgpd--transcribia"/>
    <w:p>
      <w:pPr>
        <w:pStyle w:val="Heading1"/>
      </w:pPr>
      <w:r>
        <w:t xml:space="preserve">Fiche de conformité RGPD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TRB-CONF-01.01</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11" w:name="Xc917c513d777cae8fbc2f368313a6eca76788e1"/>
    <w:p>
      <w:pPr>
        <w:pStyle w:val="Heading2"/>
      </w:pPr>
      <w:r>
        <w:t xml:space="preserve">1. Objet et portée du document</w:t>
      </w:r>
    </w:p>
    <w:p>
      <w:pPr>
        <w:pStyle w:val="FirstParagraph"/>
      </w:pPr>
      <w:r>
        <w:t xml:space="preserve">La présente fiche décrit la manière dont la solution TranscribIA, éditée et exploitée par OHADJA, est conçue pour permettre à votre organisation d'utiliser un service de transcription audio intelligente dans le respect du Règlement (UE) 2016/679 (ci-après « RGPD ») et de la loi n° 78-17 du 6 janvier 1978 modifiée.</w:t>
      </w:r>
    </w:p>
    <w:p>
      <w:pPr>
        <w:pStyle w:val="BodyText"/>
      </w:pPr>
      <w:r>
        <w:t xml:space="preserve">Elle synthétise, à l'usage de vos directions métier, DSI, RSSI et de votre référent à la protection des données, les éléments de conformité utiles à l'analyse préalable à la contractualisation : rôles des parties, données traitées, bases légales, exercice des droits des personnes, mesures de sécurité, recours à des sous-traitants ultérieurs, localisation des données et gestion des violations.</w:t>
      </w:r>
    </w:p>
    <w:p>
      <w:pPr>
        <w:pStyle w:val="BodyText"/>
      </w:pPr>
      <w:r>
        <w:t xml:space="preserve">Elle ne se substitue pas aux documents contractuels. Les engagements juridiquement opposables figurent dans l'Accord de sous-traitance au sens de l'article 28 du RGPD (ci-après le « DPA »), reproduit au document TRB-CONF-01.02, dont les annexes font foi pour la description détaillée des traitements, la liste des sous-traitants ultérieurs et les mesures techniques et organisationnelles.</w:t>
      </w:r>
    </w:p>
    <w:bookmarkEnd w:id="11"/>
    <w:bookmarkStart w:id="12" w:name="X7385a4187a8980a6e5daf7ab4330baa13b2ad55"/>
    <w:p>
      <w:pPr>
        <w:pStyle w:val="Heading2"/>
      </w:pPr>
      <w:r>
        <w:t xml:space="preserve">2. Identité du sous-traitant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Dénomination</w:t>
            </w:r>
          </w:p>
        </w:tc>
        <w:tc>
          <w:tcPr/>
          <w:p>
            <w:pPr>
              <w:pStyle w:val="Compact"/>
            </w:pPr>
            <w:r>
              <w:t xml:space="preserve">OHADJA</w:t>
            </w:r>
          </w:p>
        </w:tc>
      </w:tr>
      <w:tr>
        <w:tc>
          <w:tcPr/>
          <w:p>
            <w:pPr>
              <w:pStyle w:val="Compact"/>
            </w:pPr>
            <w:r>
              <w:t xml:space="preserve">Forme juridique</w:t>
            </w:r>
          </w:p>
        </w:tc>
        <w:tc>
          <w:tcPr/>
          <w:p>
            <w:pPr>
              <w:pStyle w:val="Compact"/>
            </w:pPr>
            <w:r>
              <w:t xml:space="preserve">Société par actions simplifiée (SAS)</w:t>
            </w:r>
          </w:p>
        </w:tc>
      </w:tr>
      <w:tr>
        <w:tc>
          <w:tcPr/>
          <w:p>
            <w:pPr>
              <w:pStyle w:val="Compact"/>
            </w:pPr>
            <w:r>
              <w:t xml:space="preserve">N° TVA intracommunautaire</w:t>
            </w:r>
          </w:p>
        </w:tc>
        <w:tc>
          <w:tcPr/>
          <w:p>
            <w:pPr>
              <w:pStyle w:val="Compact"/>
            </w:pPr>
            <w:r>
              <w:t xml:space="preserve">FR78992146480</w:t>
            </w:r>
          </w:p>
        </w:tc>
      </w:tr>
      <w:tr>
        <w:tc>
          <w:tcPr/>
          <w:p>
            <w:pPr>
              <w:pStyle w:val="Compact"/>
            </w:pPr>
            <w:r>
              <w:t xml:space="preserve">Immatriculation</w:t>
            </w:r>
          </w:p>
        </w:tc>
        <w:tc>
          <w:tcPr/>
          <w:p>
            <w:pPr>
              <w:pStyle w:val="Compact"/>
            </w:pPr>
            <w:r>
              <w:t xml:space="preserve">992 146 480 R.C.S. Paris — SIRET du siège : 992 146 480 00015</w:t>
            </w:r>
          </w:p>
        </w:tc>
      </w:tr>
      <w:tr>
        <w:tc>
          <w:tcPr/>
          <w:p>
            <w:pPr>
              <w:pStyle w:val="Compact"/>
            </w:pPr>
            <w:r>
              <w:t xml:space="preserve">Siège social</w:t>
            </w:r>
          </w:p>
        </w:tc>
        <w:tc>
          <w:tcPr/>
          <w:p>
            <w:pPr>
              <w:pStyle w:val="Compact"/>
            </w:pPr>
            <w:r>
              <w:t xml:space="preserve">60 rue François 1er, 75008 Paris, France</w:t>
            </w:r>
          </w:p>
        </w:tc>
      </w:tr>
      <w:tr>
        <w:tc>
          <w:tcPr/>
          <w:p>
            <w:pPr>
              <w:pStyle w:val="Compact"/>
            </w:pPr>
            <w:r>
              <w:t xml:space="preserve">Représentant légal</w:t>
            </w:r>
          </w:p>
        </w:tc>
        <w:tc>
          <w:tcPr/>
          <w:p>
            <w:pPr>
              <w:pStyle w:val="Compact"/>
            </w:pPr>
            <w:r>
              <w:t xml:space="preserve">Olivier Dupont, Président</w:t>
            </w:r>
          </w:p>
        </w:tc>
      </w:tr>
      <w:tr>
        <w:tc>
          <w:tcPr/>
          <w:p>
            <w:pPr>
              <w:pStyle w:val="Compact"/>
            </w:pPr>
            <w:r>
              <w:t xml:space="preserve">Rôle</w:t>
            </w:r>
          </w:p>
        </w:tc>
        <w:tc>
          <w:tcPr/>
          <w:p>
            <w:pPr>
              <w:pStyle w:val="Compact"/>
            </w:pPr>
            <w:r>
              <w:t xml:space="preserve">Éditeur et développeur du logiciel TranscribIA, et sous-traitant au sens de l'article 28 du RGPD pour l'exploitation SaaS, le support et la maintenance</w:t>
            </w:r>
          </w:p>
        </w:tc>
      </w:tr>
      <w:tr>
        <w:tc>
          <w:tcPr/>
          <w:p>
            <w:pPr>
              <w:pStyle w:val="Compact"/>
            </w:pPr>
            <w:r>
              <w:t xml:space="preserve">Référent protection des données</w:t>
            </w:r>
          </w:p>
        </w:tc>
        <w:tc>
          <w:tcPr/>
          <w:p>
            <w:pPr>
              <w:pStyle w:val="Compact"/>
            </w:pPr>
            <w:r>
              <w:t xml:space="preserve">Olivier Dupont, Président —</w:t>
            </w:r>
            <w:r>
              <w:t xml:space="preserve"> </w:t>
            </w:r>
            <w:hyperlink r:id="rId9">
              <w:r>
                <w:rPr>
                  <w:rStyle w:val="Hyperlink"/>
                </w:rPr>
                <w:t xml:space="preserve">privacy@transcribia.eu</w:t>
              </w:r>
            </w:hyperlink>
          </w:p>
        </w:tc>
      </w:tr>
      <w:tr>
        <w:tc>
          <w:tcPr/>
          <w:p>
            <w:pPr>
              <w:pStyle w:val="Compact"/>
            </w:pPr>
            <w:r>
              <w:t xml:space="preserve">Contact conformité et protection des données</w:t>
            </w:r>
          </w:p>
        </w:tc>
        <w:tc>
          <w:tcPr/>
          <w:p>
            <w:pPr>
              <w:pStyle w:val="Compact"/>
            </w:pPr>
            <w:hyperlink r:id="rId9">
              <w:r>
                <w:rPr>
                  <w:rStyle w:val="Hyperlink"/>
                </w:rPr>
                <w:t xml:space="preserve">privacy@transcribia.eu</w:t>
              </w:r>
            </w:hyperlink>
          </w:p>
        </w:tc>
      </w:tr>
    </w:tbl>
    <w:p>
      <w:pPr>
        <w:pStyle w:val="BodyText"/>
      </w:pPr>
      <w:r>
        <w:rPr>
          <w:b/>
          <w:bCs/>
        </w:rPr>
        <w:t xml:space="preserve">Rôle d'AMBASSADIA SARL.</w:t>
      </w:r>
      <w:r>
        <w:t xml:space="preserve"> </w:t>
      </w:r>
      <w:r>
        <w:t xml:space="preserve">AMBASSADIA SARL (SARL au capital de 50 000 €, gérant Olivier Dupont) intervient en qualité de</w:t>
      </w:r>
      <w:r>
        <w:t xml:space="preserve"> </w:t>
      </w:r>
      <w:r>
        <w:rPr>
          <w:b/>
          <w:bCs/>
        </w:rPr>
        <w:t xml:space="preserve">revendeur et distributeur commercial</w:t>
      </w:r>
      <w:r>
        <w:t xml:space="preserve"> </w:t>
      </w:r>
      <w:r>
        <w:t xml:space="preserve">de TranscribIA (Monaco et France). Son rôle est exclusivement commercial : elle</w:t>
      </w:r>
      <w:r>
        <w:t xml:space="preserve"> </w:t>
      </w:r>
      <w:r>
        <w:rPr>
          <w:b/>
          <w:bCs/>
        </w:rPr>
        <w:t xml:space="preserve">n'effectue aucun traitement de données de production</w:t>
      </w:r>
      <w:r>
        <w:t xml:space="preserve"> </w:t>
      </w:r>
      <w:r>
        <w:t xml:space="preserve">pour le compte des clients [périmètre exact à confirmer]. Le domaine de production</w:t>
      </w:r>
      <w:r>
        <w:t xml:space="preserve"> </w:t>
      </w:r>
      <w:r>
        <w:rPr>
          <w:rStyle w:val="VerbatimChar"/>
        </w:rPr>
        <w:t xml:space="preserve">client.transcribia.eu</w:t>
      </w:r>
      <w:r>
        <w:t xml:space="preserve"> </w:t>
      </w:r>
      <w:r>
        <w:t xml:space="preserve">demeure un élément opérationnel valide de l'exploitation SaaS assurée par OHADJA.</w:t>
      </w:r>
    </w:p>
    <w:p>
      <w:pPr>
        <w:pStyle w:val="BodyText"/>
      </w:pPr>
      <w:r>
        <w:t xml:space="preserve">TranscribIA est par ailleurs commercialisée et intégrée par Televic Conference France, en qualité de distributeur et intégrateur. Televic n'accède pas aux données de production de votre organisation, sauf compte de service que vous auriez vous-même explicitement créé. Un rôle d'administration Televic existe uniquement sur l'environnement de démonstration, jamais sur la production, et ne donne en aucun cas accès au contenu des organisations (transcriptions, audio) : il se limite à la création de structures et de comptes.</w:t>
      </w:r>
    </w:p>
    <w:bookmarkEnd w:id="12"/>
    <w:bookmarkStart w:id="13" w:name="X74f8a4f59682b637b8dd717c26f0614ac951509"/>
    <w:p>
      <w:pPr>
        <w:pStyle w:val="Heading2"/>
      </w:pPr>
      <w:r>
        <w:t xml:space="preserve">3. Positionnement des parties : responsable de traitement et sous-traitant</w:t>
      </w:r>
    </w:p>
    <w:p>
      <w:pPr>
        <w:pStyle w:val="FirstParagraph"/>
      </w:pPr>
      <w:r>
        <w:t xml:space="preserve">Votre organisation agit en qualité de</w:t>
      </w:r>
      <w:r>
        <w:t xml:space="preserve"> </w:t>
      </w:r>
      <w:r>
        <w:rPr>
          <w:b/>
          <w:bCs/>
        </w:rPr>
        <w:t xml:space="preserve">responsable de traitement</w:t>
      </w:r>
      <w:r>
        <w:t xml:space="preserve"> </w:t>
      </w:r>
      <w:r>
        <w:t xml:space="preserve">au sens de l'article 4.7 du RGPD. À ce titre, il vous appartient de déterminer les finalités et les moyens essentiels des traitements réalisés au moyen de TranscribIA, de définir la base légale de chaque traitement, d'informer les personnes concernées, de fixer les durées de conservation applicables à vos contenus et de tenir le registre prévu à l'article 30.1.</w:t>
      </w:r>
    </w:p>
    <w:p>
      <w:pPr>
        <w:pStyle w:val="BodyText"/>
      </w:pPr>
      <w:r>
        <w:t xml:space="preserve">OHADJA agit en qualité de</w:t>
      </w:r>
      <w:r>
        <w:t xml:space="preserve"> </w:t>
      </w:r>
      <w:r>
        <w:rPr>
          <w:b/>
          <w:bCs/>
        </w:rPr>
        <w:t xml:space="preserve">sous-traitant</w:t>
      </w:r>
      <w:r>
        <w:t xml:space="preserve"> </w:t>
      </w:r>
      <w:r>
        <w:t xml:space="preserve">au sens de l'article 4.8 du RGPD. Elle traite les données à caractère personnel uniquement pour votre compte, sur la base de vos instructions documentées, dans les limites du contrat principal et du DPA. Elle ne détermine ni les finalités, ni la base légale des traitements que vous opérez au moyen du service.</w:t>
      </w:r>
    </w:p>
    <w:p>
      <w:pPr>
        <w:pStyle w:val="BodyText"/>
      </w:pPr>
      <w:r>
        <w:t xml:space="preserve">Deux modes de fourniture sont prévus, dont découle le périmètre exact des responsabilités :</w:t>
      </w:r>
    </w:p>
    <w:p>
      <w:pPr>
        <w:pStyle w:val="Compact"/>
        <w:numPr>
          <w:ilvl w:val="0"/>
          <w:numId w:val="1001"/>
        </w:numPr>
      </w:pPr>
      <w:r>
        <w:rPr>
          <w:b/>
          <w:bCs/>
        </w:rPr>
        <w:t xml:space="preserve">Option A — SaaS souverain</w:t>
      </w:r>
      <w:r>
        <w:t xml:space="preserve"> </w:t>
      </w:r>
      <w:r>
        <w:t xml:space="preserve">: le service est hébergé et exploité par OHADJA sur une infrastructure située en France. OHADJA assure l'hébergement, l'exploitation applicative, la maintenance, la supervision, les sauvegardes techniques, les mises à jour et la sécurité opérationnelle.</w:t>
      </w:r>
    </w:p>
    <w:p>
      <w:pPr>
        <w:pStyle w:val="Compact"/>
        <w:numPr>
          <w:ilvl w:val="0"/>
          <w:numId w:val="1001"/>
        </w:numPr>
      </w:pPr>
      <w:r>
        <w:rPr>
          <w:b/>
          <w:bCs/>
        </w:rPr>
        <w:t xml:space="preserve">Option B — On-premise</w:t>
      </w:r>
      <w:r>
        <w:t xml:space="preserve"> </w:t>
      </w:r>
      <w:r>
        <w:t xml:space="preserve">: la solution est déployée dans votre propre infrastructure au moyen de conteneurs Docker. Vous assurez alors l'hébergement, l'administration système, la sécurité réseau, les sauvegardes et la supervision ; OHADJA demeure sous-traitant pour les seules opérations qu'elle réalise effectivement pour votre compte (support, maintenance, mise à jour applicative, accès distant autorisé).</w:t>
      </w:r>
    </w:p>
    <w:p>
      <w:pPr>
        <w:pStyle w:val="FirstParagraph"/>
      </w:pPr>
      <w:r>
        <w:t xml:space="preserve">Le mode retenu est coché à l'Annexe 1 du DPA.</w:t>
      </w:r>
    </w:p>
    <w:bookmarkEnd w:id="13"/>
    <w:bookmarkStart w:id="14" w:name="X82c4d7b633db3a6681ea8d47fe4dc1e19a1c925"/>
    <w:p>
      <w:pPr>
        <w:pStyle w:val="Heading2"/>
      </w:pPr>
      <w:r>
        <w:t xml:space="preserve">4. Le service et les traitements réalisés</w:t>
      </w:r>
    </w:p>
    <w:p>
      <w:pPr>
        <w:pStyle w:val="FirstParagraph"/>
      </w:pPr>
      <w:r>
        <w:t xml:space="preserve">TranscribIA est une plateforme de transcription audio intelligente. Le flux fonctionnel type est le suivant : téléversement d'un fichier audio, transcription automatique et diarisation (séparation des locuteurs), puis exploitation assistée par intelligence artificielle (correction, résumé, procès-verbal, chapitrage, suggestion d'identification de locuteurs) et exports au format Word.</w:t>
      </w:r>
    </w:p>
    <w:p>
      <w:pPr>
        <w:pStyle w:val="BodyText"/>
      </w:pPr>
      <w:r>
        <w:t xml:space="preserve">La description détaillée des traitements (objet, nature, finalités, opérations par étape du workflow) figure au document TRB-CONF-01.03 et à l'Annexe 1 du DPA.</w:t>
      </w:r>
    </w:p>
    <w:bookmarkEnd w:id="14"/>
    <w:bookmarkStart w:id="15" w:name="X196c226cd9710d8500b96808658c6e9d758e146"/>
    <w:p>
      <w:pPr>
        <w:pStyle w:val="Heading2"/>
      </w:pPr>
      <w:r>
        <w:t xml:space="preserve">5. Catégories de données et personnes concernées</w:t>
      </w:r>
    </w:p>
    <w:p>
      <w:pPr>
        <w:pStyle w:val="FirstParagraph"/>
      </w:pPr>
      <w:r>
        <w:t xml:space="preserve">Les catégories de données à caractère personnel susceptibles d'être traitées, selon vos usages et les fichiers que vous téléversez, sont les suivantes :</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Catégorie</w:t>
            </w:r>
          </w:p>
        </w:tc>
        <w:tc>
          <w:tcPr/>
          <w:p>
            <w:pPr>
              <w:pStyle w:val="Compact"/>
            </w:pPr>
            <w:r>
              <w:t xml:space="preserve">Exemples</w:t>
            </w:r>
          </w:p>
        </w:tc>
      </w:tr>
      <w:tr>
        <w:tc>
          <w:tcPr/>
          <w:p>
            <w:pPr>
              <w:pStyle w:val="Compact"/>
            </w:pPr>
            <w:r>
              <w:t xml:space="preserve">Enregistrements audio et vidéo</w:t>
            </w:r>
          </w:p>
        </w:tc>
        <w:tc>
          <w:tcPr/>
          <w:p>
            <w:pPr>
              <w:pStyle w:val="Compact"/>
            </w:pPr>
            <w:r>
              <w:t xml:space="preserve">Fichiers mp3, wav, ogg, m4a, flac, webm, mp4, avi, mkv, mov, wmv téléversés par vos utilisateurs</w:t>
            </w:r>
          </w:p>
        </w:tc>
      </w:tr>
      <w:tr>
        <w:tc>
          <w:tcPr/>
          <w:p>
            <w:pPr>
              <w:pStyle w:val="Compact"/>
            </w:pPr>
            <w:r>
              <w:t xml:space="preserve">Transcriptions</w:t>
            </w:r>
          </w:p>
        </w:tc>
        <w:tc>
          <w:tcPr/>
          <w:p>
            <w:pPr>
              <w:pStyle w:val="Compact"/>
            </w:pPr>
            <w:r>
              <w:t xml:space="preserve">Segments, horodatages, verbatim, versions, corrections, chapitres, diarisation</w:t>
            </w:r>
          </w:p>
        </w:tc>
      </w:tr>
      <w:tr>
        <w:tc>
          <w:tcPr/>
          <w:p>
            <w:pPr>
              <w:pStyle w:val="Compact"/>
            </w:pPr>
            <w:r>
              <w:t xml:space="preserve">Données d'intervenants</w:t>
            </w:r>
          </w:p>
        </w:tc>
        <w:tc>
          <w:tcPr/>
          <w:p>
            <w:pPr>
              <w:pStyle w:val="Compact"/>
            </w:pPr>
            <w:r>
              <w:t xml:space="preserve">Noms saisis par vos utilisateurs, libellés de locuteurs, correspondances proposées et validées</w:t>
            </w:r>
          </w:p>
        </w:tc>
      </w:tr>
      <w:tr>
        <w:tc>
          <w:tcPr/>
          <w:p>
            <w:pPr>
              <w:pStyle w:val="Compact"/>
            </w:pPr>
            <w:r>
              <w:t xml:space="preserve">Documents préparatoires</w:t>
            </w:r>
          </w:p>
        </w:tc>
        <w:tc>
          <w:tcPr/>
          <w:p>
            <w:pPr>
              <w:pStyle w:val="Compact"/>
            </w:pPr>
            <w:r>
              <w:t xml:space="preserve">Ordres du jour, procès-verbaux antérieurs, notes, PDF/DOCX, texte extrait</w:t>
            </w:r>
          </w:p>
        </w:tc>
      </w:tr>
      <w:tr>
        <w:tc>
          <w:tcPr/>
          <w:p>
            <w:pPr>
              <w:pStyle w:val="Compact"/>
            </w:pPr>
            <w:r>
              <w:t xml:space="preserve">Métadonnées de session</w:t>
            </w:r>
          </w:p>
        </w:tc>
        <w:tc>
          <w:tcPr/>
          <w:p>
            <w:pPr>
              <w:pStyle w:val="Compact"/>
            </w:pPr>
            <w:r>
              <w:t xml:space="preserve">Titre, date, lieu, type de session, statut, agenda, équipe, organisation</w:t>
            </w:r>
          </w:p>
        </w:tc>
      </w:tr>
      <w:tr>
        <w:tc>
          <w:tcPr/>
          <w:p>
            <w:pPr>
              <w:pStyle w:val="Compact"/>
            </w:pPr>
            <w:r>
              <w:t xml:space="preserve">Comptes utilisateurs</w:t>
            </w:r>
          </w:p>
        </w:tc>
        <w:tc>
          <w:tcPr/>
          <w:p>
            <w:pPr>
              <w:pStyle w:val="Compact"/>
            </w:pPr>
            <w:r>
              <w:t xml:space="preserve">Nom, prénom le cas échéant, adresse électronique, rôle, organisation, équipe, jetons d'accès, dates de connexion</w:t>
            </w:r>
          </w:p>
        </w:tc>
      </w:tr>
      <w:tr>
        <w:tc>
          <w:tcPr/>
          <w:p>
            <w:pPr>
              <w:pStyle w:val="Compact"/>
            </w:pPr>
            <w:r>
              <w:t xml:space="preserve">Journaux d'audit et traces techniques</w:t>
            </w:r>
          </w:p>
        </w:tc>
        <w:tc>
          <w:tcPr/>
          <w:p>
            <w:pPr>
              <w:pStyle w:val="Compact"/>
            </w:pPr>
            <w:r>
              <w:t xml:space="preserve">Identifiants utilisateurs, actions, dates, adresses IP lorsque collectées, événements applicatifs</w:t>
            </w:r>
          </w:p>
        </w:tc>
      </w:tr>
      <w:tr>
        <w:tc>
          <w:tcPr/>
          <w:p>
            <w:pPr>
              <w:pStyle w:val="Compact"/>
            </w:pPr>
            <w:r>
              <w:t xml:space="preserve">Générations IA</w:t>
            </w:r>
          </w:p>
        </w:tc>
        <w:tc>
          <w:tcPr/>
          <w:p>
            <w:pPr>
              <w:pStyle w:val="Compact"/>
            </w:pPr>
            <w:r>
              <w:t xml:space="preserve">Prompts, sources sélectionnées, réponses générées, résumés, analyses, procès-verbaux</w:t>
            </w:r>
          </w:p>
        </w:tc>
      </w:tr>
      <w:tr>
        <w:tc>
          <w:tcPr/>
          <w:p>
            <w:pPr>
              <w:pStyle w:val="Compact"/>
            </w:pPr>
            <w:r>
              <w:t xml:space="preserve">Données de vote ou de présence, si activées</w:t>
            </w:r>
          </w:p>
        </w:tc>
        <w:tc>
          <w:tcPr/>
          <w:p>
            <w:pPr>
              <w:pStyle w:val="Compact"/>
            </w:pPr>
            <w:r>
              <w:t xml:space="preserve">Présences, absences, procurations, résultats de vote, qualité des participants</w:t>
            </w:r>
          </w:p>
        </w:tc>
      </w:tr>
      <w:tr>
        <w:tc>
          <w:tcPr/>
          <w:p>
            <w:pPr>
              <w:pStyle w:val="Compact"/>
            </w:pPr>
            <w:r>
              <w:t xml:space="preserve">Représentations vocales temporaires</w:t>
            </w:r>
          </w:p>
        </w:tc>
        <w:tc>
          <w:tcPr/>
          <w:p>
            <w:pPr>
              <w:pStyle w:val="Compact"/>
            </w:pPr>
            <w:r>
              <w:t xml:space="preserve">Caractéristiques vocales calculées en mémoire vive pour la corrélation vocale, détruites en fin de requête</w:t>
            </w:r>
          </w:p>
        </w:tc>
      </w:tr>
    </w:tbl>
    <w:p>
      <w:pPr>
        <w:pStyle w:val="BodyText"/>
      </w:pPr>
      <w:r>
        <w:t xml:space="preserve">Les catégories de personnes concernées comprennent notamment vos utilisateurs (agents, salariés, élus, praticiens, avocats, notaires, enseignants, journalistes), les intervenants dont la voix est captée dans les fichiers téléversés, les personnes mentionnées dans les réunions, transcriptions ou documents, ainsi que les contacts institutionnels invités.</w:t>
      </w:r>
    </w:p>
    <w:p>
      <w:pPr>
        <w:pStyle w:val="BodyText"/>
      </w:pPr>
      <w:r>
        <w:rPr>
          <w:b/>
          <w:bCs/>
        </w:rPr>
        <w:t xml:space="preserve">Point d'attention — données sensibles et diarisation.</w:t>
      </w:r>
      <w:r>
        <w:t xml:space="preserve"> </w:t>
      </w:r>
      <w:r>
        <w:t xml:space="preserve">La diarisation positionnelle (technologie pyannote.audio) produit des étiquettes anonymes de type « Speaker 1 », « Speaker 2 » et ne conserve aucun gabarit vocal au-delà de la durée du traitement. À ce titre, elle n'est pas qualifiée de traitement biométrique au sens de l'article 9 du RGPD. La fonctionnalité optionnelle de corrélation vocale, désactivée par défaut, fait l'objet d'un encadrement renforcé décrit à la section 12 de la présente fiche. Il vous appartient, en votre qualité de responsable de traitement, d'apprécier la présence éventuelle de données relevant de l'article 9 (opinions, santé, etc.) dans le contenu des enregistrements que vous traitez.</w:t>
      </w:r>
    </w:p>
    <w:bookmarkEnd w:id="15"/>
    <w:bookmarkStart w:id="16" w:name="X4246085d3a0efd15658df0498ecbe9d34ede845"/>
    <w:p>
      <w:pPr>
        <w:pStyle w:val="Heading2"/>
      </w:pPr>
      <w:r>
        <w:t xml:space="preserve">6. Bases légales</w:t>
      </w:r>
    </w:p>
    <w:p>
      <w:pPr>
        <w:pStyle w:val="FirstParagraph"/>
      </w:pPr>
      <w:r>
        <w:t xml:space="preserve">La base légale de chaque traitement réalisé au moyen de TranscribIA est</w:t>
      </w:r>
      <w:r>
        <w:t xml:space="preserve"> </w:t>
      </w:r>
      <w:r>
        <w:rPr>
          <w:b/>
          <w:bCs/>
        </w:rPr>
        <w:t xml:space="preserve">déterminée par votre organisation</w:t>
      </w:r>
      <w:r>
        <w:t xml:space="preserve">, en sa qualité de responsable de traitement, en fonction de son contexte métier et de son registre des traitements. Selon les cas, elle pourra relever de l'article 6.1 du RGPD (mission d'intérêt public ou exercice de l'autorité publique pour une collectivité, obligation légale, exécution d'un contrat, intérêt légitime ou consentement).</w:t>
      </w:r>
    </w:p>
    <w:p>
      <w:pPr>
        <w:pStyle w:val="BodyText"/>
      </w:pPr>
      <w:r>
        <w:t xml:space="preserve">OHADJA ne détermine aucune base légale et n'exerce aucun traitement pour son propre compte à partir de vos données. Il vous appartient également d'informer les personnes concernées et, le cas échéant, de recueillir leur consentement.</w:t>
      </w:r>
    </w:p>
    <w:bookmarkEnd w:id="16"/>
    <w:bookmarkStart w:id="17" w:name="Xad34d28697945ad9da85f5bf29d3fa8a4f6e563"/>
    <w:p>
      <w:pPr>
        <w:pStyle w:val="Heading2"/>
      </w:pPr>
      <w:r>
        <w:t xml:space="preserve">7. Droits des personnes et modalités concrètes dans le produit</w:t>
      </w:r>
    </w:p>
    <w:p>
      <w:pPr>
        <w:pStyle w:val="FirstParagraph"/>
      </w:pPr>
      <w:r>
        <w:t xml:space="preserve">Vous demeurez responsable du traitement des demandes d'exercice des droits (articles 12 à 22 du RGPD). TranscribIA met à votre disposition des fonctionnalités permettant d'y donner suite de manière concrète :</w:t>
      </w:r>
    </w:p>
    <w:p>
      <w:pPr>
        <w:pStyle w:val="Compact"/>
        <w:numPr>
          <w:ilvl w:val="0"/>
          <w:numId w:val="1002"/>
        </w:numPr>
      </w:pPr>
      <w:r>
        <w:rPr>
          <w:b/>
          <w:bCs/>
        </w:rPr>
        <w:t xml:space="preserve">Droit d'accès et de rectification (art. 15 et 16)</w:t>
      </w:r>
      <w:r>
        <w:t xml:space="preserve"> </w:t>
      </w:r>
      <w:r>
        <w:t xml:space="preserve">: les transcriptions, métadonnées et informations d'intervenants sont consultables et modifiables par édition directe dans l'application par vos utilisateurs autorisés.</w:t>
      </w:r>
    </w:p>
    <w:p>
      <w:pPr>
        <w:pStyle w:val="Compact"/>
        <w:numPr>
          <w:ilvl w:val="0"/>
          <w:numId w:val="1002"/>
        </w:numPr>
      </w:pPr>
      <w:r>
        <w:rPr>
          <w:b/>
          <w:bCs/>
        </w:rPr>
        <w:t xml:space="preserve">Droit à la portabilité (art. 20)</w:t>
      </w:r>
      <w:r>
        <w:t xml:space="preserve"> </w:t>
      </w:r>
      <w:r>
        <w:t xml:space="preserve">: un export complet par organisation est disponible en</w:t>
      </w:r>
      <w:r>
        <w:t xml:space="preserve"> </w:t>
      </w:r>
      <w:r>
        <w:rPr>
          <w:b/>
          <w:bCs/>
        </w:rPr>
        <w:t xml:space="preserve">self-service</w:t>
      </w:r>
      <w:r>
        <w:t xml:space="preserve"> </w:t>
      </w:r>
      <w:r>
        <w:t xml:space="preserve">depuis le menu Réglages → Portabilité. Il produit une archive</w:t>
      </w:r>
      <w:r>
        <w:t xml:space="preserve"> </w:t>
      </w:r>
      <w:r>
        <w:rPr>
          <w:rStyle w:val="VerbatimChar"/>
        </w:rPr>
        <w:t xml:space="preserve">.tar.gz</w:t>
      </w:r>
      <w:r>
        <w:t xml:space="preserve"> </w:t>
      </w:r>
      <w:r>
        <w:t xml:space="preserve">signée en SHA-256 contenant l'intégralité du schéma de votre organisation (sessions, audio, transcriptions, générations IA, votes, présences, dictionnaire, journal d'activité, utilisateurs).</w:t>
      </w:r>
    </w:p>
    <w:p>
      <w:pPr>
        <w:pStyle w:val="Compact"/>
        <w:numPr>
          <w:ilvl w:val="0"/>
          <w:numId w:val="1002"/>
        </w:numPr>
      </w:pPr>
      <w:r>
        <w:rPr>
          <w:b/>
          <w:bCs/>
        </w:rPr>
        <w:t xml:space="preserve">Droit à l'effacement (art. 17)</w:t>
      </w:r>
      <w:r>
        <w:t xml:space="preserve"> </w:t>
      </w:r>
      <w:r>
        <w:t xml:space="preserve">: une suppression certifiée est disponible depuis la même page. La demande est tracée dans les journaux d'audit, exécutée dans le délai légal via un workflow de purge, et donne lieu à l'émission d'un</w:t>
      </w:r>
      <w:r>
        <w:t xml:space="preserve"> </w:t>
      </w:r>
      <w:r>
        <w:rPr>
          <w:b/>
          <w:bCs/>
        </w:rPr>
        <w:t xml:space="preserve">certificat de suppression</w:t>
      </w:r>
      <w:r>
        <w:t xml:space="preserve">.</w:t>
      </w:r>
    </w:p>
    <w:p>
      <w:pPr>
        <w:pStyle w:val="Compact"/>
        <w:numPr>
          <w:ilvl w:val="0"/>
          <w:numId w:val="1002"/>
        </w:numPr>
      </w:pPr>
      <w:r>
        <w:rPr>
          <w:b/>
          <w:bCs/>
        </w:rPr>
        <w:t xml:space="preserve">Droits de limitation, d'opposition et relatifs à la décision automatisée</w:t>
      </w:r>
      <w:r>
        <w:t xml:space="preserve"> </w:t>
      </w:r>
      <w:r>
        <w:t xml:space="preserve">: OHADJA vous assiste techniquement dans un délai de sept (7) jours ouvrés à compter d'une demande écrite complète, conformément à l'article 9 du DPA.</w:t>
      </w:r>
    </w:p>
    <w:p>
      <w:pPr>
        <w:pStyle w:val="FirstParagraph"/>
      </w:pPr>
      <w:r>
        <w:t xml:space="preserve">Si OHADJA reçoit directement une demande d'une personne concernée relative à vos données, elle vous la transmet dans les meilleurs délais et s'abstient d'y répondre sur le fond, sauf instruction documentée de votre part ou obligation légale.</w:t>
      </w:r>
    </w:p>
    <w:bookmarkEnd w:id="17"/>
    <w:bookmarkStart w:id="18" w:name="Xafbd96c4622a4e63c8dcca79de62f511187ddba"/>
    <w:p>
      <w:pPr>
        <w:pStyle w:val="Heading2"/>
      </w:pPr>
      <w:r>
        <w:t xml:space="preserve">8. Mesures de sécurité (article 32 du RGPD) — résumé</w:t>
      </w:r>
    </w:p>
    <w:p>
      <w:pPr>
        <w:pStyle w:val="FirstParagraph"/>
      </w:pPr>
      <w:r>
        <w:t xml:space="preserve">OHADJA met en œuvre des mesures techniques et organisationnelles appropriées, détaillées à l'Annexe 3 du DPA et au document TRB-CONF-01.06. En synthèse :</w:t>
      </w:r>
    </w:p>
    <w:p>
      <w:pPr>
        <w:pStyle w:val="Compact"/>
        <w:numPr>
          <w:ilvl w:val="0"/>
          <w:numId w:val="1003"/>
        </w:numPr>
      </w:pPr>
      <w:r>
        <w:rPr>
          <w:b/>
          <w:bCs/>
        </w:rPr>
        <w:t xml:space="preserve">Confidentialité et chiffrement</w:t>
      </w:r>
      <w:r>
        <w:t xml:space="preserve"> </w:t>
      </w:r>
      <w:r>
        <w:t xml:space="preserve">: TLS 1.2 ou supérieur obligatoire pour tous les accès ; chiffrement des sauvegardes avant externalisation (age, X25519 + ChaCha20-Poly1305) ; secrets d'authentification à double facteur protégés en AES-256-CBC ; URLs signées temporaires (30 minutes) pour le streaming audio.</w:t>
      </w:r>
    </w:p>
    <w:p>
      <w:pPr>
        <w:pStyle w:val="Compact"/>
        <w:numPr>
          <w:ilvl w:val="0"/>
          <w:numId w:val="1003"/>
        </w:numPr>
      </w:pPr>
      <w:r>
        <w:rPr>
          <w:b/>
          <w:bCs/>
        </w:rPr>
        <w:t xml:space="preserve">Contrôle d'accès</w:t>
      </w:r>
      <w:r>
        <w:t xml:space="preserve"> </w:t>
      </w:r>
      <w:r>
        <w:t xml:space="preserve">: authentification par jetons Sanctum hachés en SHA-256 ; mots de passe en bcrypt (coût 12) ; double authentification TOTP (RFC 6238) configurable par rôle ; contrôle d'accès fondé sur les rôles à cinq niveaux ; confirmation par mot de passe (step-up) sur les actions destructives.</w:t>
      </w:r>
    </w:p>
    <w:p>
      <w:pPr>
        <w:pStyle w:val="Compact"/>
        <w:numPr>
          <w:ilvl w:val="0"/>
          <w:numId w:val="1003"/>
        </w:numPr>
      </w:pPr>
      <w:r>
        <w:rPr>
          <w:b/>
          <w:bCs/>
        </w:rPr>
        <w:t xml:space="preserve">Isolation</w:t>
      </w:r>
      <w:r>
        <w:t xml:space="preserve"> </w:t>
      </w:r>
      <w:r>
        <w:t xml:space="preserve">: architecture multi-tenant avec un schéma PostgreSQL dédié par organisation.</w:t>
      </w:r>
    </w:p>
    <w:p>
      <w:pPr>
        <w:pStyle w:val="Compact"/>
        <w:numPr>
          <w:ilvl w:val="0"/>
          <w:numId w:val="1003"/>
        </w:numPr>
      </w:pPr>
      <w:r>
        <w:rPr>
          <w:b/>
          <w:bCs/>
        </w:rPr>
        <w:t xml:space="preserve">Intégrité</w:t>
      </w:r>
      <w:r>
        <w:t xml:space="preserve"> </w:t>
      </w:r>
      <w:r>
        <w:t xml:space="preserve">: analyse antivirus ClamAV systématique sur chaque téléversement ; journaux d'audit par organisation et au niveau plateforme, exportables en CSV/JSON ; politique de sécurité du contenu (CSP) et CORS strict.</w:t>
      </w:r>
    </w:p>
    <w:p>
      <w:pPr>
        <w:pStyle w:val="Compact"/>
        <w:numPr>
          <w:ilvl w:val="0"/>
          <w:numId w:val="1003"/>
        </w:numPr>
      </w:pPr>
      <w:r>
        <w:rPr>
          <w:b/>
          <w:bCs/>
        </w:rPr>
        <w:t xml:space="preserve">Disponibilité et résilience</w:t>
      </w:r>
      <w:r>
        <w:t xml:space="preserve"> </w:t>
      </w:r>
      <w:r>
        <w:t xml:space="preserve">: sauvegardes quotidiennes chiffrées, supervision 24/7, reprise automatique des traitements bloqués.</w:t>
      </w:r>
    </w:p>
    <w:bookmarkEnd w:id="18"/>
    <w:bookmarkStart w:id="19" w:name="X6544f44c0f7dbf53f7cb952b155c92fb5415a60"/>
    <w:p>
      <w:pPr>
        <w:pStyle w:val="Heading2"/>
      </w:pPr>
      <w:r>
        <w:t xml:space="preserve">9. Sous-traitants ultérieurs</w:t>
      </w:r>
    </w:p>
    <w:p>
      <w:pPr>
        <w:pStyle w:val="FirstParagraph"/>
      </w:pPr>
      <w:r>
        <w:t xml:space="preserve">En</w:t>
      </w:r>
      <w:r>
        <w:t xml:space="preserve"> </w:t>
      </w:r>
      <w:r>
        <w:rPr>
          <w:b/>
          <w:bCs/>
        </w:rPr>
        <w:t xml:space="preserve">Option A (SaaS)</w:t>
      </w:r>
      <w:r>
        <w:t xml:space="preserve">, OHADJA recourt à des sous-traitants ultérieurs autorisés dont la liste, les finalités, la localisation et la base contractuelle figurent à l'</w:t>
      </w:r>
      <w:r>
        <w:rPr>
          <w:b/>
          <w:bCs/>
        </w:rPr>
        <w:t xml:space="preserve">Annexe 2 du DPA</w:t>
      </w:r>
      <w:r>
        <w:t xml:space="preserve"> </w:t>
      </w:r>
      <w:r>
        <w:t xml:space="preserve">(document TRB-CONF-01.02). Ils comprennent notamment l'hébergeur (Hostinger, datacenter en France) et le stockage des sauvegardes chiffrées (Scaleway, France). Les fonctions d'intelligence artificielle s'exécutent par défaut sur une infrastructure d'inférence maîtrisée par OHADJA en Europe (voie primaire, vLLM open-weights) ; la passerelle OpenRouter et ses fournisseurs de modèles ne sont mobilisés qu'en secours (failover) et sont désactivables par organisation. Les ressources GPU de transcription complètent cette liste.</w:t>
      </w:r>
    </w:p>
    <w:p>
      <w:pPr>
        <w:pStyle w:val="BodyText"/>
      </w:pPr>
      <w:r>
        <w:t xml:space="preserve">En</w:t>
      </w:r>
      <w:r>
        <w:t xml:space="preserve"> </w:t>
      </w:r>
      <w:r>
        <w:rPr>
          <w:b/>
          <w:bCs/>
        </w:rPr>
        <w:t xml:space="preserve">Option B on-premise isolée</w:t>
      </w:r>
      <w:r>
        <w:t xml:space="preserve">, aucun sous-traitant ultérieur d'OHADJA n'intervient dans le traitement de vos données : tous les composants s'exécutent dans votre infrastructure.</w:t>
      </w:r>
    </w:p>
    <w:p>
      <w:pPr>
        <w:pStyle w:val="BodyText"/>
      </w:pPr>
      <w:r>
        <w:t xml:space="preserve">Tout ajout ou remplacement de sous-traitant ultérieur vous est notifié au moins</w:t>
      </w:r>
      <w:r>
        <w:t xml:space="preserve"> </w:t>
      </w:r>
      <w:r>
        <w:rPr>
          <w:b/>
          <w:bCs/>
        </w:rPr>
        <w:t xml:space="preserve">trente (30) jours</w:t>
      </w:r>
      <w:r>
        <w:t xml:space="preserve"> </w:t>
      </w:r>
      <w:r>
        <w:t xml:space="preserve">calendaires à l'avance, avec faculté d'objection motivée (article 6 du DPA).</w:t>
      </w:r>
    </w:p>
    <w:bookmarkEnd w:id="19"/>
    <w:bookmarkStart w:id="20" w:name="Xe28e49365d38b643d833898626eccc572f6e84e"/>
    <w:p>
      <w:pPr>
        <w:pStyle w:val="Heading2"/>
      </w:pPr>
      <w:r>
        <w:t xml:space="preserve">10. Localisation des données et transferts hors EEE</w:t>
      </w:r>
    </w:p>
    <w:p>
      <w:pPr>
        <w:pStyle w:val="FirstParagraph"/>
      </w:pPr>
      <w:r>
        <w:t xml:space="preserve">En Option A, les données de production sont hébergées en France (datacenter de Strasbourg) et les sauvegardes sont chiffrées puis stockées dans l'Union européenne. La localisation détaillée par catégorie de données figure au document TRB-CONF-01.04.</w:t>
      </w:r>
    </w:p>
    <w:p>
      <w:pPr>
        <w:pStyle w:val="BodyText"/>
      </w:pPr>
      <w:r>
        <w:rPr>
          <w:b/>
          <w:bCs/>
        </w:rPr>
        <w:t xml:space="preserve">Mention honnête relative aux transferts hors EEE (Option A).</w:t>
      </w:r>
      <w:r>
        <w:t xml:space="preserve"> </w:t>
      </w:r>
      <w:r>
        <w:t xml:space="preserve">Par défaut, les fonctions d'intelligence artificielle s'exécutent sur une infrastructure d'inférence maîtrisée par OHADJA, hébergée en Europe (vLLM open-weights) : cette voie primaire n'implique aucun transfert hors EEE. Un transfert hors de l'Espace économique européen n'est possible que de manière résiduelle, lorsque le secours OpenRouter est sollicité (indisponibilité de la voie primaire) et n'a pas été désactivé, celui-ci pouvant recourir à des fournisseurs de modèles établis aux États-Unis (par exemple Anthropic ou OpenAI). De même, le recours ponctuel à des ressources GPU de transcription via une place de marché peut, selon la configuration, impliquer un traitement hors EEE. Ces transferts résiduels sont encadrés par les mécanismes du chapitre V du RGPD (clauses contractuelles types, le cas échéant Data Privacy Framework) et par des mesures supplémentaires (TLS, minimisation, absence d'entraînement sur vos données, absence de stockage durable).</w:t>
      </w:r>
    </w:p>
    <w:p>
      <w:pPr>
        <w:pStyle w:val="BodyText"/>
      </w:pPr>
      <w:r>
        <w:t xml:space="preserve">Pour les organisations exigeant l'absence de tout transfert hors EEE, un</w:t>
      </w:r>
      <w:r>
        <w:t xml:space="preserve"> </w:t>
      </w:r>
      <w:r>
        <w:rPr>
          <w:b/>
          <w:bCs/>
        </w:rPr>
        <w:t xml:space="preserve">profil « UE strict »</w:t>
      </w:r>
      <w:r>
        <w:t xml:space="preserve"> </w:t>
      </w:r>
      <w:r>
        <w:t xml:space="preserve">est configurable par organisation depuis la version 1.7.0 (voie primaire vLLM UE ou modèle auto-hébergé, secours OpenRouter désactivé, ressources GPU en UE). L'</w:t>
      </w:r>
      <w:r>
        <w:rPr>
          <w:b/>
          <w:bCs/>
        </w:rPr>
        <w:t xml:space="preserve">Option B on-premise isolée</w:t>
      </w:r>
      <w:r>
        <w:t xml:space="preserve"> </w:t>
      </w:r>
      <w:r>
        <w:t xml:space="preserve">exclut par construction tout flux sortant et tout transfert hors EEE.</w:t>
      </w:r>
    </w:p>
    <w:p>
      <w:pPr>
        <w:pStyle w:val="BodyText"/>
      </w:pPr>
      <w:r>
        <w:rPr>
          <w:b/>
          <w:bCs/>
        </w:rPr>
        <w:t xml:space="preserve">Administration et support depuis la France / l'UE.</w:t>
      </w:r>
      <w:r>
        <w:t xml:space="preserve"> </w:t>
      </w:r>
      <w:r>
        <w:t xml:space="preserve">OHADJA s'engage contractuellement à réaliser l'administration et le support de la solution</w:t>
      </w:r>
      <w:r>
        <w:t xml:space="preserve"> </w:t>
      </w:r>
      <w:r>
        <w:rPr>
          <w:b/>
          <w:bCs/>
        </w:rPr>
        <w:t xml:space="preserve">exclusivement depuis la France ou l'Union européenne</w:t>
      </w:r>
      <w:r>
        <w:t xml:space="preserve">. Aucun accès d'administration aux données de production n'est effectué depuis un pays tiers. Ces accès sont nominatifs, réalisés par connexion chiffrée (SSH par clé, double authentification, TLS), journalisés, sans copie locale des données de production et depuis un poste chiffré. Voir le document TRB-CONF-01.04 pour le détail.</w:t>
      </w:r>
    </w:p>
    <w:bookmarkEnd w:id="20"/>
    <w:bookmarkStart w:id="21" w:name="X1b934251d3bed64bb585d5086874bcd6a2a0f9f"/>
    <w:p>
      <w:pPr>
        <w:pStyle w:val="Heading2"/>
      </w:pPr>
      <w:r>
        <w:t xml:space="preserve">11. Violations de données</w:t>
      </w:r>
    </w:p>
    <w:p>
      <w:pPr>
        <w:pStyle w:val="FirstParagraph"/>
      </w:pPr>
      <w:r>
        <w:t xml:space="preserve">En cas de violation de données à caractère personnel concernant vos données, OHADJA vous notifie dans les meilleurs délais et</w:t>
      </w:r>
      <w:r>
        <w:t xml:space="preserve"> </w:t>
      </w:r>
      <w:r>
        <w:rPr>
          <w:b/>
          <w:bCs/>
        </w:rPr>
        <w:t xml:space="preserve">au plus tard dans un délai de quarante-huit (48) heures ouvrées</w:t>
      </w:r>
      <w:r>
        <w:t xml:space="preserve"> </w:t>
      </w:r>
      <w:r>
        <w:t xml:space="preserve">à compter de sa prise de connaissance (article 8 du DPA). La notification comporte, dans la mesure des informations disponibles, la nature de la violation, les catégories de données et de personnes concernées, les conséquences probables et les mesures prises ou proposées.</w:t>
      </w:r>
    </w:p>
    <w:p>
      <w:pPr>
        <w:pStyle w:val="BodyText"/>
      </w:pPr>
      <w:r>
        <w:t xml:space="preserve">Vous demeurez seul responsable, en votre qualité de responsable de traitement, de la notification à la CNIL dans le délai de</w:t>
      </w:r>
      <w:r>
        <w:t xml:space="preserve"> </w:t>
      </w:r>
      <w:r>
        <w:rPr>
          <w:b/>
          <w:bCs/>
        </w:rPr>
        <w:t xml:space="preserve">soixante-douze (72) heures</w:t>
      </w:r>
      <w:r>
        <w:t xml:space="preserve"> </w:t>
      </w:r>
      <w:r>
        <w:t xml:space="preserve">prévu à l'article 33 du RGPD lorsque celle-ci est requise, ainsi que, le cas échéant, de la communication aux personnes concernées (article 34).</w:t>
      </w:r>
    </w:p>
    <w:p>
      <w:pPr>
        <w:pStyle w:val="BodyText"/>
      </w:pPr>
      <w:r>
        <w:t xml:space="preserve">Contact pour la déclaration et le suivi d'un incident :</w:t>
      </w:r>
      <w:r>
        <w:t xml:space="preserve"> </w:t>
      </w:r>
      <w:hyperlink r:id="rId9">
        <w:r>
          <w:rPr>
            <w:rStyle w:val="Hyperlink"/>
          </w:rPr>
          <w:t xml:space="preserve">privacy@transcribia.eu</w:t>
        </w:r>
      </w:hyperlink>
      <w:r>
        <w:t xml:space="preserve">.</w:t>
      </w:r>
    </w:p>
    <w:bookmarkEnd w:id="21"/>
    <w:bookmarkStart w:id="22" w:name="X748abbc0e9c3c7d10f73fc5df8bd4ed0eace36e"/>
    <w:p>
      <w:pPr>
        <w:pStyle w:val="Heading2"/>
      </w:pPr>
      <w:r>
        <w:t xml:space="preserve">12. Corrélation vocale — encadrement spécifique</w:t>
      </w:r>
    </w:p>
    <w:p>
      <w:pPr>
        <w:pStyle w:val="FirstParagraph"/>
      </w:pPr>
      <w:r>
        <w:t xml:space="preserve">La fonctionnalité de corrélation vocale (« voice correlation »), livrée le 18 mai 2026, permet, au sein d'une même organisation, une comparaison vocale éphémère afin de proposer un rapprochement entre intervenants. Elle est</w:t>
      </w:r>
      <w:r>
        <w:t xml:space="preserve"> </w:t>
      </w:r>
      <w:r>
        <w:rPr>
          <w:b/>
          <w:bCs/>
        </w:rPr>
        <w:t xml:space="preserve">désactivée par défaut</w:t>
      </w:r>
      <w:r>
        <w:t xml:space="preserve"> </w:t>
      </w:r>
      <w:r>
        <w:t xml:space="preserve">et strictement opt-in. Son activation suppose la signature préalable d'un avenant DPA dédié et la réalisation d'une analyse d'impact relative à la protection des données (AIPD, article 35). Les représentations vocales sont calculées temporairement en mémoire vive, ne donnent lieu à aucun gabarit biométrique persistant, ne sont jamais utilisées pour entraîner des modèles et sont détruites à l'issue de la requête. Les suggestions produites font l'objet d'une validation humaine obligatoire.</w:t>
      </w:r>
    </w:p>
    <w:p>
      <w:pPr>
        <w:pStyle w:val="BodyText"/>
      </w:pPr>
      <w:r>
        <w:t xml:space="preserve">OHADJA s'engage à ne jamais introduire de traitement biométrique automatique persistant sans mise à jour explicite du DPA soumise à votre acceptation préalable, avec un préavis minimum de soixante (60) jours.</w:t>
      </w:r>
    </w:p>
    <w:bookmarkEnd w:id="22"/>
    <w:bookmarkStart w:id="23" w:name="X20465f27dd06acc5a702225313327e4138f83ef"/>
    <w:p>
      <w:pPr>
        <w:pStyle w:val="Heading2"/>
      </w:pPr>
      <w:r>
        <w:t xml:space="preserve">13. Durées de conservation</w:t>
      </w:r>
    </w:p>
    <w:p>
      <w:pPr>
        <w:pStyle w:val="FirstParagraph"/>
      </w:pPr>
      <w:r>
        <w:t xml:space="preserve">Les durées de conservation sont</w:t>
      </w:r>
      <w:r>
        <w:t xml:space="preserve"> </w:t>
      </w:r>
      <w:r>
        <w:rPr>
          <w:b/>
          <w:bCs/>
        </w:rPr>
        <w:t xml:space="preserve">paramétrables par organisation</w:t>
      </w:r>
      <w:r>
        <w:t xml:space="preserve">. À défaut de paramétrage, les valeurs par défaut sont les suivantes :</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Catégorie</w:t>
            </w:r>
          </w:p>
        </w:tc>
        <w:tc>
          <w:tcPr/>
          <w:p>
            <w:pPr>
              <w:pStyle w:val="Compact"/>
            </w:pPr>
            <w:r>
              <w:t xml:space="preserve">Durée par défaut</w:t>
            </w:r>
          </w:p>
        </w:tc>
      </w:tr>
      <w:tr>
        <w:tc>
          <w:tcPr/>
          <w:p>
            <w:pPr>
              <w:pStyle w:val="Compact"/>
            </w:pPr>
            <w:r>
              <w:t xml:space="preserve">Fichiers audio, transcriptions, documents, générations IA</w:t>
            </w:r>
          </w:p>
        </w:tc>
        <w:tc>
          <w:tcPr/>
          <w:p>
            <w:pPr>
              <w:pStyle w:val="Compact"/>
            </w:pPr>
            <w:r>
              <w:t xml:space="preserve">Durée du contrat, sauf durée paramétrée par vos soins</w:t>
            </w:r>
          </w:p>
        </w:tc>
      </w:tr>
      <w:tr>
        <w:tc>
          <w:tcPr/>
          <w:p>
            <w:pPr>
              <w:pStyle w:val="Compact"/>
            </w:pPr>
            <w:r>
              <w:t xml:space="preserve">Journaux d'audit applicatifs</w:t>
            </w:r>
          </w:p>
        </w:tc>
        <w:tc>
          <w:tcPr/>
          <w:p>
            <w:pPr>
              <w:pStyle w:val="Compact"/>
            </w:pPr>
            <w:r>
              <w:t xml:space="preserve">Douze (12) mois au maximum, sauf instruction ou obligation contraire</w:t>
            </w:r>
          </w:p>
        </w:tc>
      </w:tr>
      <w:tr>
        <w:tc>
          <w:tcPr/>
          <w:p>
            <w:pPr>
              <w:pStyle w:val="Compact"/>
            </w:pPr>
            <w:r>
              <w:t xml:space="preserve">Journaux techniques</w:t>
            </w:r>
          </w:p>
        </w:tc>
        <w:tc>
          <w:tcPr/>
          <w:p>
            <w:pPr>
              <w:pStyle w:val="Compact"/>
            </w:pPr>
            <w:r>
              <w:t xml:space="preserve">Environ quatre-vingt-dix (90) jours</w:t>
            </w:r>
          </w:p>
        </w:tc>
      </w:tr>
      <w:tr>
        <w:tc>
          <w:tcPr/>
          <w:p>
            <w:pPr>
              <w:pStyle w:val="Compact"/>
            </w:pPr>
            <w:r>
              <w:t xml:space="preserve">Sauvegardes</w:t>
            </w:r>
          </w:p>
        </w:tc>
        <w:tc>
          <w:tcPr/>
          <w:p>
            <w:pPr>
              <w:pStyle w:val="Compact"/>
            </w:pPr>
            <w:r>
              <w:t xml:space="preserve">Quatre-vingt-dix (90) jours au maximum</w:t>
            </w:r>
          </w:p>
        </w:tc>
      </w:tr>
      <w:tr>
        <w:tc>
          <w:tcPr/>
          <w:p>
            <w:pPr>
              <w:pStyle w:val="Compact"/>
            </w:pPr>
            <w:r>
              <w:t xml:space="preserve">Représentations vocales temporaires (corrélation vocale)</w:t>
            </w:r>
          </w:p>
        </w:tc>
        <w:tc>
          <w:tcPr/>
          <w:p>
            <w:pPr>
              <w:pStyle w:val="Compact"/>
            </w:pPr>
            <w:r>
              <w:t xml:space="preserve">Durée de la requête uniquement, destruction en fin de traitement</w:t>
            </w:r>
          </w:p>
        </w:tc>
      </w:tr>
    </w:tbl>
    <w:p>
      <w:pPr>
        <w:pStyle w:val="BodyText"/>
      </w:pPr>
      <w:r>
        <w:t xml:space="preserve">Le détail figure à l'Annexe 1 du DPA.</w:t>
      </w:r>
    </w:p>
    <w:bookmarkEnd w:id="23"/>
    <w:bookmarkStart w:id="24" w:name="X07f81c7fe2a8ed9b89166589432e4564882394b"/>
    <w:p>
      <w:pPr>
        <w:pStyle w:val="Heading2"/>
      </w:pPr>
      <w:r>
        <w:t xml:space="preserve">14. Certifications — état réel</w:t>
      </w:r>
    </w:p>
    <w:p>
      <w:pPr>
        <w:pStyle w:val="FirstParagraph"/>
      </w:pPr>
      <w:r>
        <w:t xml:space="preserve">À la date de la présente fiche, OHADJA</w:t>
      </w:r>
      <w:r>
        <w:t xml:space="preserve"> </w:t>
      </w:r>
      <w:r>
        <w:rPr>
          <w:b/>
          <w:bCs/>
        </w:rPr>
        <w:t xml:space="preserve">ne détient aucune certification</w:t>
      </w:r>
      <w:r>
        <w:t xml:space="preserve"> </w:t>
      </w:r>
      <w:r>
        <w:t xml:space="preserve">de sécurité obtenue pour TranscribIA. Par honnêteté vis-à-vis de vos analyses RSSI, l'état d'avancement est le suivant :</w:t>
      </w:r>
    </w:p>
    <w:p>
      <w:pPr>
        <w:pStyle w:val="Compact"/>
        <w:numPr>
          <w:ilvl w:val="0"/>
          <w:numId w:val="1004"/>
        </w:numPr>
      </w:pPr>
      <w:r>
        <w:rPr>
          <w:b/>
          <w:bCs/>
        </w:rPr>
        <w:t xml:space="preserve">ISO/IEC 27001</w:t>
      </w:r>
      <w:r>
        <w:t xml:space="preserve"> </w:t>
      </w:r>
      <w:r>
        <w:t xml:space="preserve">: démarche structurée engagée ; un socle de seize politiques de management de la sécurité de l'information est formalisé ; certification visée début 2027.</w:t>
      </w:r>
    </w:p>
    <w:p>
      <w:pPr>
        <w:pStyle w:val="Compact"/>
        <w:numPr>
          <w:ilvl w:val="0"/>
          <w:numId w:val="1004"/>
        </w:numPr>
      </w:pPr>
      <w:r>
        <w:rPr>
          <w:b/>
          <w:bCs/>
        </w:rPr>
        <w:t xml:space="preserve">SOC 2 Type I</w:t>
      </w:r>
      <w:r>
        <w:t xml:space="preserve"> </w:t>
      </w:r>
      <w:r>
        <w:t xml:space="preserve">: audit planifié en 2026.</w:t>
      </w:r>
    </w:p>
    <w:p>
      <w:pPr>
        <w:pStyle w:val="Compact"/>
        <w:numPr>
          <w:ilvl w:val="0"/>
          <w:numId w:val="1004"/>
        </w:numPr>
      </w:pPr>
      <w:r>
        <w:rPr>
          <w:b/>
          <w:bCs/>
        </w:rPr>
        <w:t xml:space="preserve">HDS (hébergement de données de santé)</w:t>
      </w:r>
      <w:r>
        <w:t xml:space="preserve"> </w:t>
      </w:r>
      <w:r>
        <w:t xml:space="preserve">: à l'étude, pertinent uniquement en présence de données de santé.</w:t>
      </w:r>
    </w:p>
    <w:p>
      <w:pPr>
        <w:pStyle w:val="Compact"/>
        <w:numPr>
          <w:ilvl w:val="0"/>
          <w:numId w:val="1004"/>
        </w:numPr>
      </w:pPr>
      <w:r>
        <w:rPr>
          <w:b/>
          <w:bCs/>
        </w:rPr>
        <w:t xml:space="preserve">SecNumCloud</w:t>
      </w:r>
      <w:r>
        <w:t xml:space="preserve"> </w:t>
      </w:r>
      <w:r>
        <w:t xml:space="preserve">: en veille, non visé à court terme.</w:t>
      </w:r>
    </w:p>
    <w:p>
      <w:pPr>
        <w:pStyle w:val="FirstParagraph"/>
      </w:pPr>
      <w:r>
        <w:t xml:space="preserve">Ces éléments sont mentionnés à titre informatif ; ils ne constituent pas des engagements de résultat.</w:t>
      </w:r>
    </w:p>
    <w:bookmarkEnd w:id="24"/>
    <w:bookmarkStart w:id="25" w:name="X3cc9d837d5b5bfc67ac24d260d78f0776b9dcea"/>
    <w:p>
      <w:pPr>
        <w:pStyle w:val="Heading2"/>
      </w:pPr>
      <w:r>
        <w:t xml:space="preserve">15. Gouvernance et contact</w:t>
      </w:r>
    </w:p>
    <w:p>
      <w:pPr>
        <w:pStyle w:val="FirstParagraph"/>
      </w:pPr>
      <w:r>
        <w:t xml:space="preserve">OHADJA n'a pas désigné de délégué à la protection des données (DPO) au sens de l'article 37, aucune obligation de désignation ne s'imposant en l'état. Le référent à la protection des données d'OHADJA est joignable à l'adresse</w:t>
      </w:r>
      <w:r>
        <w:t xml:space="preserve"> </w:t>
      </w:r>
      <w:hyperlink r:id="rId9">
        <w:r>
          <w:rPr>
            <w:rStyle w:val="Hyperlink"/>
          </w:rPr>
          <w:t xml:space="preserve">privacy@transcribia.eu</w:t>
        </w:r>
      </w:hyperlink>
      <w:r>
        <w:t xml:space="preserve"> </w:t>
      </w:r>
      <w:r>
        <w:t xml:space="preserve">[À CONFIRMER : identité et qualité du référent chez OHADJA]. Une analyse d'impact générique (DPIA) relative au service est disponible sur demande ; l'AIPD propre à vos usages reste à votre charge, avec l'assistance prévue à l'article 5.6 du DPA.</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25"/>
    <w:bookmarkEnd w:id="26"/>
    <w:bookmarkStart w:id="35" w:name="X5ce8e54643d310862f8b266cf20852c711cc936"/>
    <w:p>
      <w:pPr>
        <w:pStyle w:val="Heading1"/>
      </w:pPr>
      <w:r>
        <w:t xml:space="preserve">Description des traitements réalisés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TRB-CONF-01.03</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27" w:name="Xb1f60ed89d16cc8c1b22a449bcdccfadc02c111"/>
    <w:p>
      <w:pPr>
        <w:pStyle w:val="Heading2"/>
      </w:pPr>
      <w:r>
        <w:t xml:space="preserve">1. Objet du document</w:t>
      </w:r>
    </w:p>
    <w:p>
      <w:pPr>
        <w:pStyle w:val="FirstParagraph"/>
      </w:pPr>
      <w:r>
        <w:t xml:space="preserve">Le présent document développe l'Annexe 1 de l'Accord de sous-traitance (document TRB-CONF-01.02). Il décrit, à des fins d'analyse par votre référent à la protection des données et votre DSI, l'objet, la nature, les finalités des traitements réalisés au moyen de TranscribIA, les catégories de données et de personnes concernées, ainsi que le détail des opérations de traitement, étape par étape, dans le flux fonctionnel de la solution.</w:t>
      </w:r>
    </w:p>
    <w:p>
      <w:pPr>
        <w:pStyle w:val="BodyText"/>
      </w:pPr>
      <w:r>
        <w:t xml:space="preserve">Il distingue systématiquement les deux modes de fourniture :</w:t>
      </w:r>
    </w:p>
    <w:p>
      <w:pPr>
        <w:pStyle w:val="Compact"/>
        <w:numPr>
          <w:ilvl w:val="0"/>
          <w:numId w:val="1005"/>
        </w:numPr>
      </w:pPr>
      <w:r>
        <w:rPr>
          <w:b/>
          <w:bCs/>
        </w:rPr>
        <w:t xml:space="preserve">Option A — SaaS</w:t>
      </w:r>
      <w:r>
        <w:t xml:space="preserve"> </w:t>
      </w:r>
      <w:r>
        <w:t xml:space="preserve">: service hébergé et exploité par OHADJA sur une infrastructure située en France.</w:t>
      </w:r>
    </w:p>
    <w:p>
      <w:pPr>
        <w:pStyle w:val="Compact"/>
        <w:numPr>
          <w:ilvl w:val="0"/>
          <w:numId w:val="1005"/>
        </w:numPr>
      </w:pPr>
      <w:r>
        <w:rPr>
          <w:b/>
          <w:bCs/>
        </w:rPr>
        <w:t xml:space="preserve">Option B — On-premise</w:t>
      </w:r>
      <w:r>
        <w:t xml:space="preserve"> </w:t>
      </w:r>
      <w:r>
        <w:t xml:space="preserve">: déploiement de la solution dans l'infrastructure du client, dont la variante « isolée » n'implique aucun flux sortant.</w:t>
      </w:r>
    </w:p>
    <w:p>
      <w:pPr>
        <w:pStyle w:val="FirstParagraph"/>
      </w:pPr>
      <w:r>
        <w:t xml:space="preserve">En cas de divergence entre le présent document et le DPA, ce sont les stipulations du DPA qui font foi.</w:t>
      </w:r>
    </w:p>
    <w:bookmarkEnd w:id="27"/>
    <w:bookmarkStart w:id="28" w:name="Xe2205706177dc3f6d76bd1cc1f9ebf058d31c16"/>
    <w:p>
      <w:pPr>
        <w:pStyle w:val="Heading2"/>
      </w:pPr>
      <w:r>
        <w:t xml:space="preserve">2. Objet, nature et finalités du traitement</w:t>
      </w:r>
    </w:p>
    <w:p>
      <w:pPr>
        <w:pStyle w:val="FirstParagraph"/>
      </w:pPr>
      <w:r>
        <w:rPr>
          <w:b/>
          <w:bCs/>
        </w:rPr>
        <w:t xml:space="preserve">Objet.</w:t>
      </w:r>
      <w:r>
        <w:t xml:space="preserve"> </w:t>
      </w:r>
      <w:r>
        <w:t xml:space="preserve">Fourniture d'une solution de transcription audio, de diarisation, de structuration de transcriptions, d'exploitation par intelligence artificielle, de génération de documents, de gestion de sessions et d'utilisateurs, de journalisation et de suggestion d'identification de locuteurs.</w:t>
      </w:r>
    </w:p>
    <w:p>
      <w:pPr>
        <w:pStyle w:val="BodyText"/>
      </w:pPr>
      <w:r>
        <w:rPr>
          <w:b/>
          <w:bCs/>
        </w:rPr>
        <w:t xml:space="preserve">Nature.</w:t>
      </w:r>
      <w:r>
        <w:t xml:space="preserve"> </w:t>
      </w:r>
      <w:r>
        <w:t xml:space="preserve">Collecte par téléversement, hébergement, stockage, organisation, consultation, extraction, transcription, diarisation, correction, génération assistée par IA, export, journalisation, sauvegarde, suppression et assistance technique.</w:t>
      </w:r>
    </w:p>
    <w:p>
      <w:pPr>
        <w:pStyle w:val="BodyText"/>
      </w:pPr>
      <w:r>
        <w:rPr>
          <w:b/>
          <w:bCs/>
        </w:rPr>
        <w:t xml:space="preserve">Finalités.</w:t>
      </w:r>
      <w:r>
        <w:t xml:space="preserve"> </w:t>
      </w:r>
      <w:r>
        <w:t xml:space="preserve">Permettre à votre organisation de créer des sessions de travail, de téléverser des fichiers audio, d'obtenir des transcriptions exploitables, de gérer les intervenants, de corriger ou d'enrichir les contenus, de produire des résumés, procès-verbaux, chapitrages ou analyses, de gérer des documents préparatoires, d'assurer la traçabilité et d'administrer les accès.</w:t>
      </w:r>
    </w:p>
    <w:p>
      <w:pPr>
        <w:pStyle w:val="BodyText"/>
      </w:pPr>
      <w:r>
        <w:t xml:space="preserve">Les finalités sont</w:t>
      </w:r>
      <w:r>
        <w:t xml:space="preserve"> </w:t>
      </w:r>
      <w:r>
        <w:rPr>
          <w:b/>
          <w:bCs/>
        </w:rPr>
        <w:t xml:space="preserve">déterminées par votre organisation</w:t>
      </w:r>
      <w:r>
        <w:t xml:space="preserve"> </w:t>
      </w:r>
      <w:r>
        <w:t xml:space="preserve">en sa qualité de responsable de traitement. OHADJA n'exploite aucune donnée pour son propre compte.</w:t>
      </w:r>
    </w:p>
    <w:bookmarkEnd w:id="28"/>
    <w:bookmarkStart w:id="29" w:name="X56485e4b262afdb194453dd1109068006fcc426"/>
    <w:p>
      <w:pPr>
        <w:pStyle w:val="Heading2"/>
      </w:pPr>
      <w:r>
        <w:t xml:space="preserve">3. Catégories de données traitées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Catégorie</w:t>
            </w:r>
          </w:p>
        </w:tc>
        <w:tc>
          <w:tcPr/>
          <w:p>
            <w:pPr>
              <w:pStyle w:val="Compact"/>
            </w:pPr>
            <w:r>
              <w:t xml:space="preserve">Exemples</w:t>
            </w:r>
          </w:p>
        </w:tc>
      </w:tr>
      <w:tr>
        <w:tc>
          <w:tcPr/>
          <w:p>
            <w:pPr>
              <w:pStyle w:val="Compact"/>
            </w:pPr>
            <w:r>
              <w:t xml:space="preserve">Enregistrements audio et vidéo éventuelle</w:t>
            </w:r>
          </w:p>
        </w:tc>
        <w:tc>
          <w:tcPr/>
          <w:p>
            <w:pPr>
              <w:pStyle w:val="Compact"/>
            </w:pPr>
            <w:r>
              <w:t xml:space="preserve">Fichiers mp3, wav, ogg, m4a, flac, webm, mp4, avi, mkv, mov, wmv (taille maximale 2 500 Mo)</w:t>
            </w:r>
          </w:p>
        </w:tc>
      </w:tr>
      <w:tr>
        <w:tc>
          <w:tcPr/>
          <w:p>
            <w:pPr>
              <w:pStyle w:val="Compact"/>
            </w:pPr>
            <w:r>
              <w:t xml:space="preserve">Transcriptions</w:t>
            </w:r>
          </w:p>
        </w:tc>
        <w:tc>
          <w:tcPr/>
          <w:p>
            <w:pPr>
              <w:pStyle w:val="Compact"/>
            </w:pPr>
            <w:r>
              <w:t xml:space="preserve">JSON de transcription, segments, horodatages, verbatim, versions, corrections, chapitres, diarisation</w:t>
            </w:r>
          </w:p>
        </w:tc>
      </w:tr>
      <w:tr>
        <w:tc>
          <w:tcPr/>
          <w:p>
            <w:pPr>
              <w:pStyle w:val="Compact"/>
            </w:pPr>
            <w:r>
              <w:t xml:space="preserve">Données d'intervenants</w:t>
            </w:r>
          </w:p>
        </w:tc>
        <w:tc>
          <w:tcPr/>
          <w:p>
            <w:pPr>
              <w:pStyle w:val="Compact"/>
            </w:pPr>
            <w:r>
              <w:t xml:space="preserve">Noms saisis par les utilisateurs, libellés de locuteurs, correspondances proposées et validées</w:t>
            </w:r>
          </w:p>
        </w:tc>
      </w:tr>
      <w:tr>
        <w:tc>
          <w:tcPr/>
          <w:p>
            <w:pPr>
              <w:pStyle w:val="Compact"/>
            </w:pPr>
            <w:r>
              <w:t xml:space="preserve">Documents préparatoires</w:t>
            </w:r>
          </w:p>
        </w:tc>
        <w:tc>
          <w:tcPr/>
          <w:p>
            <w:pPr>
              <w:pStyle w:val="Compact"/>
            </w:pPr>
            <w:r>
              <w:t xml:space="preserve">Ordres du jour, procès-verbaux antérieurs, notes, PDF/DOCX, texte ou markdown extrait</w:t>
            </w:r>
          </w:p>
        </w:tc>
      </w:tr>
      <w:tr>
        <w:tc>
          <w:tcPr/>
          <w:p>
            <w:pPr>
              <w:pStyle w:val="Compact"/>
            </w:pPr>
            <w:r>
              <w:t xml:space="preserve">Métadonnées de session</w:t>
            </w:r>
          </w:p>
        </w:tc>
        <w:tc>
          <w:tcPr/>
          <w:p>
            <w:pPr>
              <w:pStyle w:val="Compact"/>
            </w:pPr>
            <w:r>
              <w:t xml:space="preserve">Titre, date, lieu, type de session, statut, agenda, équipe, organisation, fichiers liés, paramètres</w:t>
            </w:r>
          </w:p>
        </w:tc>
      </w:tr>
      <w:tr>
        <w:tc>
          <w:tcPr/>
          <w:p>
            <w:pPr>
              <w:pStyle w:val="Compact"/>
            </w:pPr>
            <w:r>
              <w:t xml:space="preserve">Comptes utilisateurs</w:t>
            </w:r>
          </w:p>
        </w:tc>
        <w:tc>
          <w:tcPr/>
          <w:p>
            <w:pPr>
              <w:pStyle w:val="Compact"/>
            </w:pPr>
            <w:r>
              <w:t xml:space="preserve">Nom, prénom le cas échéant, adresse électronique, rôle, organisation, équipe, jetons d'accès, dates de connexion</w:t>
            </w:r>
          </w:p>
        </w:tc>
      </w:tr>
      <w:tr>
        <w:tc>
          <w:tcPr/>
          <w:p>
            <w:pPr>
              <w:pStyle w:val="Compact"/>
            </w:pPr>
            <w:r>
              <w:t xml:space="preserve">Journaux d'audit et traces techniques</w:t>
            </w:r>
          </w:p>
        </w:tc>
        <w:tc>
          <w:tcPr/>
          <w:p>
            <w:pPr>
              <w:pStyle w:val="Compact"/>
            </w:pPr>
            <w:r>
              <w:t xml:space="preserve">Identifiants utilisateurs, actions, dates, adresses IP lorsque collectées, événements applicatifs, erreurs, identifiants de corrélation</w:t>
            </w:r>
          </w:p>
        </w:tc>
      </w:tr>
      <w:tr>
        <w:tc>
          <w:tcPr/>
          <w:p>
            <w:pPr>
              <w:pStyle w:val="Compact"/>
            </w:pPr>
            <w:r>
              <w:t xml:space="preserve">Générations IA</w:t>
            </w:r>
          </w:p>
        </w:tc>
        <w:tc>
          <w:tcPr/>
          <w:p>
            <w:pPr>
              <w:pStyle w:val="Compact"/>
            </w:pPr>
            <w:r>
              <w:t xml:space="preserve">Prompts, sources sélectionnées, réponses générées, résumés, analyses, corrections, procès-verbaux, exports</w:t>
            </w:r>
          </w:p>
        </w:tc>
      </w:tr>
      <w:tr>
        <w:tc>
          <w:tcPr/>
          <w:p>
            <w:pPr>
              <w:pStyle w:val="Compact"/>
            </w:pPr>
            <w:r>
              <w:t xml:space="preserve">Données de vote ou de présence, si activées</w:t>
            </w:r>
          </w:p>
        </w:tc>
        <w:tc>
          <w:tcPr/>
          <w:p>
            <w:pPr>
              <w:pStyle w:val="Compact"/>
            </w:pPr>
            <w:r>
              <w:t xml:space="preserve">Présences, absences, procurations, résultats de vote, qualité ou fonction des participants</w:t>
            </w:r>
          </w:p>
        </w:tc>
      </w:tr>
      <w:tr>
        <w:tc>
          <w:tcPr/>
          <w:p>
            <w:pPr>
              <w:pStyle w:val="Compact"/>
            </w:pPr>
            <w:r>
              <w:t xml:space="preserve">Représentations vocales temporaires</w:t>
            </w:r>
          </w:p>
        </w:tc>
        <w:tc>
          <w:tcPr/>
          <w:p>
            <w:pPr>
              <w:pStyle w:val="Compact"/>
            </w:pPr>
            <w:r>
              <w:t xml:space="preserve">Vecteurs numériques calculés en mémoire vive pour la corrélation vocale, détruits en fin de requête</w:t>
            </w:r>
          </w:p>
        </w:tc>
      </w:tr>
    </w:tbl>
    <w:bookmarkEnd w:id="29"/>
    <w:bookmarkStart w:id="30" w:name="Xb026068f2151d4ac72560dc3548f72be26eed7b"/>
    <w:p>
      <w:pPr>
        <w:pStyle w:val="Heading2"/>
      </w:pPr>
      <w:r>
        <w:t xml:space="preserve">4. Catégories de personnes concernées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Catégorie</w:t>
            </w:r>
          </w:p>
        </w:tc>
        <w:tc>
          <w:tcPr/>
          <w:p>
            <w:pPr>
              <w:pStyle w:val="Compact"/>
            </w:pPr>
            <w:r>
              <w:t xml:space="preserve">Description</w:t>
            </w:r>
          </w:p>
        </w:tc>
      </w:tr>
      <w:tr>
        <w:tc>
          <w:tcPr/>
          <w:p>
            <w:pPr>
              <w:pStyle w:val="Compact"/>
            </w:pPr>
            <w:r>
              <w:t xml:space="preserve">Utilisateurs du client</w:t>
            </w:r>
          </w:p>
        </w:tc>
        <w:tc>
          <w:tcPr/>
          <w:p>
            <w:pPr>
              <w:pStyle w:val="Compact"/>
            </w:pPr>
            <w:r>
              <w:t xml:space="preserve">Agents, salariés, élus, praticiens, avocats, notaires, enseignants, journalistes, administrateurs, membres d'équipes</w:t>
            </w:r>
          </w:p>
        </w:tc>
      </w:tr>
      <w:tr>
        <w:tc>
          <w:tcPr/>
          <w:p>
            <w:pPr>
              <w:pStyle w:val="Compact"/>
            </w:pPr>
            <w:r>
              <w:t xml:space="preserve">Intervenants enregistrés</w:t>
            </w:r>
          </w:p>
        </w:tc>
        <w:tc>
          <w:tcPr/>
          <w:p>
            <w:pPr>
              <w:pStyle w:val="Compact"/>
            </w:pPr>
            <w:r>
              <w:t xml:space="preserve">Participants dont la voix est captée dans les fichiers téléversés</w:t>
            </w:r>
          </w:p>
        </w:tc>
      </w:tr>
      <w:tr>
        <w:tc>
          <w:tcPr/>
          <w:p>
            <w:pPr>
              <w:pStyle w:val="Compact"/>
            </w:pPr>
            <w:r>
              <w:t xml:space="preserve">Personnes mentionnées</w:t>
            </w:r>
          </w:p>
        </w:tc>
        <w:tc>
          <w:tcPr/>
          <w:p>
            <w:pPr>
              <w:pStyle w:val="Compact"/>
            </w:pPr>
            <w:r>
              <w:t xml:space="preserve">Personnes citées dans les réunions, transcriptions, documents, votes, procès-verbaux ou générations IA</w:t>
            </w:r>
          </w:p>
        </w:tc>
      </w:tr>
      <w:tr>
        <w:tc>
          <w:tcPr/>
          <w:p>
            <w:pPr>
              <w:pStyle w:val="Compact"/>
            </w:pPr>
            <w:r>
              <w:t xml:space="preserve">Contacts institutionnels</w:t>
            </w:r>
          </w:p>
        </w:tc>
        <w:tc>
          <w:tcPr/>
          <w:p>
            <w:pPr>
              <w:pStyle w:val="Compact"/>
            </w:pPr>
            <w:r>
              <w:t xml:space="preserve">Membres de conseil, élus, collaborateurs, représentants, participants invités</w:t>
            </w:r>
          </w:p>
        </w:tc>
      </w:tr>
      <w:tr>
        <w:tc>
          <w:tcPr/>
          <w:p>
            <w:pPr>
              <w:pStyle w:val="Compact"/>
            </w:pPr>
            <w:r>
              <w:t xml:space="preserve">Personnel OHADJA</w:t>
            </w:r>
          </w:p>
        </w:tc>
        <w:tc>
          <w:tcPr/>
          <w:p>
            <w:pPr>
              <w:pStyle w:val="Compact"/>
            </w:pPr>
            <w:r>
              <w:t xml:space="preserve">Uniquement pour les traces d'intervention, de support, de sécurité ou d'audit interne liées au service</w:t>
            </w:r>
          </w:p>
        </w:tc>
      </w:tr>
    </w:tbl>
    <w:bookmarkEnd w:id="30"/>
    <w:bookmarkStart w:id="32" w:name="X1b3637a51c839f2e3fee467cfce921b002e0fd8"/>
    <w:p>
      <w:pPr>
        <w:pStyle w:val="Heading2"/>
      </w:pPr>
      <w:r>
        <w:t xml:space="preserve">5. Opérations de traitement, étape par étape</w:t>
      </w:r>
    </w:p>
    <w:p>
      <w:pPr>
        <w:pStyle w:val="FirstParagraph"/>
      </w:pPr>
      <w:r>
        <w:t xml:space="preserve">Le tableau suivant décrit chaque opération du flux fonctionnel, le composant technique concerné, la localisation du traitement en Option A et le comportement en Option B isolée.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Étape</w:t>
            </w:r>
          </w:p>
        </w:tc>
        <w:tc>
          <w:tcPr/>
          <w:p>
            <w:pPr>
              <w:pStyle w:val="Compact"/>
            </w:pPr>
            <w:r>
              <w:t xml:space="preserve">Opération</w:t>
            </w:r>
          </w:p>
        </w:tc>
        <w:tc>
          <w:tcPr/>
          <w:p>
            <w:pPr>
              <w:pStyle w:val="Compact"/>
            </w:pPr>
            <w:r>
              <w:t xml:space="preserve">Composant</w:t>
            </w:r>
          </w:p>
        </w:tc>
        <w:tc>
          <w:tcPr/>
          <w:p>
            <w:pPr>
              <w:pStyle w:val="Compact"/>
            </w:pPr>
            <w:r>
              <w:t xml:space="preserve">Option A (SaaS)</w:t>
            </w:r>
          </w:p>
        </w:tc>
        <w:tc>
          <w:tcPr/>
          <w:p>
            <w:pPr>
              <w:pStyle w:val="Compact"/>
            </w:pPr>
            <w:r>
              <w:t xml:space="preserve">Option B (isolée)</w:t>
            </w:r>
          </w:p>
        </w:tc>
      </w:tr>
      <w:tr>
        <w:tc>
          <w:tcPr/>
          <w:p>
            <w:pPr>
              <w:pStyle w:val="Compact"/>
            </w:pPr>
            <w:r>
              <w:t xml:space="preserve">1. Téléversement</w:t>
            </w:r>
          </w:p>
        </w:tc>
        <w:tc>
          <w:tcPr/>
          <w:p>
            <w:pPr>
              <w:pStyle w:val="Compact"/>
            </w:pPr>
            <w:r>
              <w:t xml:space="preserve">Réception du fichier audio ou vidéo, contrôle de format et de taille (max 2 500 Mo), passage au statut « pending »</w:t>
            </w:r>
          </w:p>
        </w:tc>
        <w:tc>
          <w:tcPr/>
          <w:p>
            <w:pPr>
              <w:pStyle w:val="Compact"/>
            </w:pPr>
            <w:r>
              <w:t xml:space="preserve">Application Laravel + Nginx</w:t>
            </w:r>
          </w:p>
        </w:tc>
        <w:tc>
          <w:tcPr/>
          <w:p>
            <w:pPr>
              <w:pStyle w:val="Compact"/>
            </w:pPr>
            <w:r>
              <w:t xml:space="preserve">Serveur France</w:t>
            </w:r>
          </w:p>
        </w:tc>
        <w:tc>
          <w:tcPr/>
          <w:p>
            <w:pPr>
              <w:pStyle w:val="Compact"/>
            </w:pPr>
            <w:r>
              <w:t xml:space="preserve">Infrastructure du client</w:t>
            </w:r>
          </w:p>
        </w:tc>
      </w:tr>
      <w:tr>
        <w:tc>
          <w:tcPr/>
          <w:p>
            <w:pPr>
              <w:pStyle w:val="Compact"/>
            </w:pPr>
            <w:r>
              <w:t xml:space="preserve">2. Analyse antivirus</w:t>
            </w:r>
          </w:p>
        </w:tc>
        <w:tc>
          <w:tcPr/>
          <w:p>
            <w:pPr>
              <w:pStyle w:val="Compact"/>
            </w:pPr>
            <w:r>
              <w:t xml:space="preserve">Contrôle systématique de chaque téléversement avant écriture disque, rejet et alerte en cas de fichier infecté</w:t>
            </w:r>
          </w:p>
        </w:tc>
        <w:tc>
          <w:tcPr/>
          <w:p>
            <w:pPr>
              <w:pStyle w:val="Compact"/>
            </w:pPr>
            <w:r>
              <w:t xml:space="preserve">Sidecar ClamAV</w:t>
            </w:r>
          </w:p>
        </w:tc>
        <w:tc>
          <w:tcPr/>
          <w:p>
            <w:pPr>
              <w:pStyle w:val="Compact"/>
            </w:pPr>
            <w:r>
              <w:t xml:space="preserve">Serveur France</w:t>
            </w:r>
          </w:p>
        </w:tc>
        <w:tc>
          <w:tcPr/>
          <w:p>
            <w:pPr>
              <w:pStyle w:val="Compact"/>
            </w:pPr>
            <w:r>
              <w:t xml:space="preserve">Infrastructure du client</w:t>
            </w:r>
          </w:p>
        </w:tc>
      </w:tr>
      <w:tr>
        <w:tc>
          <w:tcPr/>
          <w:p>
            <w:pPr>
              <w:pStyle w:val="Compact"/>
            </w:pPr>
            <w:r>
              <w:t xml:space="preserve">3. Transcription</w:t>
            </w:r>
          </w:p>
        </w:tc>
        <w:tc>
          <w:tcPr/>
          <w:p>
            <w:pPr>
              <w:pStyle w:val="Compact"/>
            </w:pPr>
            <w:r>
              <w:t xml:space="preserve">Conversion parole-vers-texte, production de segments et d'horodatages</w:t>
            </w:r>
          </w:p>
        </w:tc>
        <w:tc>
          <w:tcPr/>
          <w:p>
            <w:pPr>
              <w:pStyle w:val="Compact"/>
            </w:pPr>
            <w:r>
              <w:t xml:space="preserve">Serveur de transcription GPU (whisperX)</w:t>
            </w:r>
          </w:p>
        </w:tc>
        <w:tc>
          <w:tcPr/>
          <w:p>
            <w:pPr>
              <w:pStyle w:val="Compact"/>
            </w:pPr>
            <w:r>
              <w:t xml:space="preserve">GPU dédié ou ressource UE lorsque requis</w:t>
            </w:r>
          </w:p>
        </w:tc>
        <w:tc>
          <w:tcPr/>
          <w:p>
            <w:pPr>
              <w:pStyle w:val="Compact"/>
            </w:pPr>
            <w:r>
              <w:t xml:space="preserve">Worker GPU local du client</w:t>
            </w:r>
          </w:p>
        </w:tc>
      </w:tr>
      <w:tr>
        <w:tc>
          <w:tcPr/>
          <w:p>
            <w:pPr>
              <w:pStyle w:val="Compact"/>
            </w:pPr>
            <w:r>
              <w:t xml:space="preserve">4. Diarisation</w:t>
            </w:r>
          </w:p>
        </w:tc>
        <w:tc>
          <w:tcPr/>
          <w:p>
            <w:pPr>
              <w:pStyle w:val="Compact"/>
            </w:pPr>
            <w:r>
              <w:t xml:space="preserve">Séparation positionnelle des locuteurs, étiquettes anonymes « Speaker N », sans gabarit conservé</w:t>
            </w:r>
          </w:p>
        </w:tc>
        <w:tc>
          <w:tcPr/>
          <w:p>
            <w:pPr>
              <w:pStyle w:val="Compact"/>
            </w:pPr>
            <w:r>
              <w:t xml:space="preserve">pyannote.audio</w:t>
            </w:r>
          </w:p>
        </w:tc>
        <w:tc>
          <w:tcPr/>
          <w:p>
            <w:pPr>
              <w:pStyle w:val="Compact"/>
            </w:pPr>
            <w:r>
              <w:t xml:space="preserve">Traitement automatisé, données supprimées après le job</w:t>
            </w:r>
          </w:p>
        </w:tc>
        <w:tc>
          <w:tcPr/>
          <w:p>
            <w:pPr>
              <w:pStyle w:val="Compact"/>
            </w:pPr>
            <w:r>
              <w:t xml:space="preserve">Worker GPU local du client</w:t>
            </w:r>
          </w:p>
        </w:tc>
      </w:tr>
      <w:tr>
        <w:tc>
          <w:tcPr/>
          <w:p>
            <w:pPr>
              <w:pStyle w:val="Compact"/>
            </w:pPr>
            <w:r>
              <w:t xml:space="preserve">5. Exploitation IA</w:t>
            </w:r>
          </w:p>
        </w:tc>
        <w:tc>
          <w:tcPr/>
          <w:p>
            <w:pPr>
              <w:pStyle w:val="Compact"/>
            </w:pPr>
            <w:r>
              <w:t xml:space="preserve">Correction, résumé, procès-verbal, chapitrage, suggestion d'identification de locuteurs, à partir des seules sources sélectionnées</w:t>
            </w:r>
          </w:p>
        </w:tc>
        <w:tc>
          <w:tcPr/>
          <w:p>
            <w:pPr>
              <w:pStyle w:val="Compact"/>
            </w:pPr>
            <w:r>
              <w:t xml:space="preserve">Serveurs vLLM maîtrisés / LlmGateway / configuration LLM par organisation</w:t>
            </w:r>
          </w:p>
        </w:tc>
        <w:tc>
          <w:tcPr/>
          <w:p>
            <w:pPr>
              <w:pStyle w:val="Compact"/>
            </w:pPr>
            <w:r>
              <w:t xml:space="preserve">Voie primaire : vLLM open-weights sur GPU maîtrisés en Europe (Strasbourg / Paris) ; secours OpenRouter (hors EEE) si voie primaire indisponible et non désactivé</w:t>
            </w:r>
          </w:p>
        </w:tc>
        <w:tc>
          <w:tcPr/>
          <w:p>
            <w:pPr>
              <w:pStyle w:val="Compact"/>
            </w:pPr>
            <w:r>
              <w:t xml:space="preserve">Modèle auto-hébergé local (vLLM/Ollama), aucun flux sortant</w:t>
            </w:r>
          </w:p>
        </w:tc>
      </w:tr>
      <w:tr>
        <w:tc>
          <w:tcPr/>
          <w:p>
            <w:pPr>
              <w:pStyle w:val="Compact"/>
            </w:pPr>
            <w:r>
              <w:t xml:space="preserve">6. Corrélation vocale (option)</w:t>
            </w:r>
          </w:p>
        </w:tc>
        <w:tc>
          <w:tcPr/>
          <w:p>
            <w:pPr>
              <w:pStyle w:val="Compact"/>
            </w:pPr>
            <w:r>
              <w:t xml:space="preserve">Comparaison vocale éphémère pour suggérer des rapprochements d'intervenants, embeddings détruits en fin de requête</w:t>
            </w:r>
          </w:p>
        </w:tc>
        <w:tc>
          <w:tcPr/>
          <w:p>
            <w:pPr>
              <w:pStyle w:val="Compact"/>
            </w:pPr>
            <w:r>
              <w:t xml:space="preserve">Worker dédié</w:t>
            </w:r>
          </w:p>
        </w:tc>
        <w:tc>
          <w:tcPr/>
          <w:p>
            <w:pPr>
              <w:pStyle w:val="Compact"/>
            </w:pPr>
            <w:r>
              <w:t xml:space="preserve">Désactivée par défaut ; opt-in + avenant DPA + AIPD</w:t>
            </w:r>
          </w:p>
        </w:tc>
        <w:tc>
          <w:tcPr/>
          <w:p>
            <w:pPr>
              <w:pStyle w:val="Compact"/>
            </w:pPr>
            <w:r>
              <w:t xml:space="preserve">Désactivée par défaut ; traitement local uniquement</w:t>
            </w:r>
          </w:p>
        </w:tc>
      </w:tr>
      <w:tr>
        <w:tc>
          <w:tcPr/>
          <w:p>
            <w:pPr>
              <w:pStyle w:val="Compact"/>
            </w:pPr>
            <w:r>
              <w:t xml:space="preserve">7. Exports</w:t>
            </w:r>
          </w:p>
        </w:tc>
        <w:tc>
          <w:tcPr/>
          <w:p>
            <w:pPr>
              <w:pStyle w:val="Compact"/>
            </w:pPr>
            <w:r>
              <w:t xml:space="preserve">Génération de documents Word, exports de données</w:t>
            </w:r>
          </w:p>
        </w:tc>
        <w:tc>
          <w:tcPr/>
          <w:p>
            <w:pPr>
              <w:pStyle w:val="Compact"/>
            </w:pPr>
            <w:r>
              <w:t xml:space="preserve">Application Laravel</w:t>
            </w:r>
          </w:p>
        </w:tc>
        <w:tc>
          <w:tcPr/>
          <w:p>
            <w:pPr>
              <w:pStyle w:val="Compact"/>
            </w:pPr>
            <w:r>
              <w:t xml:space="preserve">Serveur France</w:t>
            </w:r>
          </w:p>
        </w:tc>
        <w:tc>
          <w:tcPr/>
          <w:p>
            <w:pPr>
              <w:pStyle w:val="Compact"/>
            </w:pPr>
            <w:r>
              <w:t xml:space="preserve">Infrastructure du client</w:t>
            </w:r>
          </w:p>
        </w:tc>
      </w:tr>
      <w:tr>
        <w:tc>
          <w:tcPr/>
          <w:p>
            <w:pPr>
              <w:pStyle w:val="Compact"/>
            </w:pPr>
            <w:r>
              <w:t xml:space="preserve">8. Journalisation</w:t>
            </w:r>
          </w:p>
        </w:tc>
        <w:tc>
          <w:tcPr/>
          <w:p>
            <w:pPr>
              <w:pStyle w:val="Compact"/>
            </w:pPr>
            <w:r>
              <w:t xml:space="preserve">Enregistrement des actions dans les journaux d'audit par organisation et au niveau plateforme</w:t>
            </w:r>
          </w:p>
        </w:tc>
        <w:tc>
          <w:tcPr/>
          <w:p>
            <w:pPr>
              <w:pStyle w:val="Compact"/>
            </w:pPr>
            <w:r>
              <w:t xml:space="preserve">PostgreSQL (</w:t>
            </w:r>
            <w:r>
              <w:rPr>
                <w:rStyle w:val="VerbatimChar"/>
              </w:rPr>
              <w:t xml:space="preserve">activity_logs</w:t>
            </w:r>
            <w:r>
              <w:t xml:space="preserve">,</w:t>
            </w:r>
            <w:r>
              <w:t xml:space="preserve"> </w:t>
            </w:r>
            <w:r>
              <w:rPr>
                <w:rStyle w:val="VerbatimChar"/>
              </w:rPr>
              <w:t xml:space="preserve">public.audit_logs</w:t>
            </w:r>
            <w:r>
              <w:t xml:space="preserve">)</w:t>
            </w:r>
          </w:p>
        </w:tc>
        <w:tc>
          <w:tcPr/>
          <w:p>
            <w:pPr>
              <w:pStyle w:val="Compact"/>
            </w:pPr>
            <w:r>
              <w:t xml:space="preserve">Serveur France</w:t>
            </w:r>
          </w:p>
        </w:tc>
        <w:tc>
          <w:tcPr/>
          <w:p>
            <w:pPr>
              <w:pStyle w:val="Compact"/>
            </w:pPr>
            <w:r>
              <w:t xml:space="preserve">Infrastructure du client</w:t>
            </w:r>
          </w:p>
        </w:tc>
      </w:tr>
      <w:tr>
        <w:tc>
          <w:tcPr/>
          <w:p>
            <w:pPr>
              <w:pStyle w:val="Compact"/>
            </w:pPr>
            <w:r>
              <w:t xml:space="preserve">9. Sauvegarde</w:t>
            </w:r>
          </w:p>
        </w:tc>
        <w:tc>
          <w:tcPr/>
          <w:p>
            <w:pPr>
              <w:pStyle w:val="Compact"/>
            </w:pPr>
            <w:r>
              <w:t xml:space="preserve">Sauvegardes quotidiennes chiffrées avant externalisation</w:t>
            </w:r>
          </w:p>
        </w:tc>
        <w:tc>
          <w:tcPr/>
          <w:p>
            <w:pPr>
              <w:pStyle w:val="Compact"/>
            </w:pPr>
            <w:r>
              <w:t xml:space="preserve">Scripts de sauvegarde + rclone</w:t>
            </w:r>
          </w:p>
        </w:tc>
        <w:tc>
          <w:tcPr/>
          <w:p>
            <w:pPr>
              <w:pStyle w:val="Compact"/>
            </w:pPr>
            <w:r>
              <w:t xml:space="preserve">Chiffrement age, stockage Scaleway (France)</w:t>
            </w:r>
          </w:p>
        </w:tc>
        <w:tc>
          <w:tcPr/>
          <w:p>
            <w:pPr>
              <w:pStyle w:val="Compact"/>
            </w:pPr>
            <w:r>
              <w:t xml:space="preserve">À la charge du client</w:t>
            </w:r>
          </w:p>
        </w:tc>
      </w:tr>
      <w:tr>
        <w:tc>
          <w:tcPr/>
          <w:p>
            <w:pPr>
              <w:pStyle w:val="Compact"/>
            </w:pPr>
            <w:r>
              <w:t xml:space="preserve">10. Suppression</w:t>
            </w:r>
          </w:p>
        </w:tc>
        <w:tc>
          <w:tcPr/>
          <w:p>
            <w:pPr>
              <w:pStyle w:val="Compact"/>
            </w:pPr>
            <w:r>
              <w:t xml:space="preserve">Purge certifiée des données sur demande, émission d'un certificat de suppression</w:t>
            </w:r>
          </w:p>
        </w:tc>
        <w:tc>
          <w:tcPr/>
          <w:p>
            <w:pPr>
              <w:pStyle w:val="Compact"/>
            </w:pPr>
            <w:r>
              <w:t xml:space="preserve">Workflow de purge applicatif</w:t>
            </w:r>
          </w:p>
        </w:tc>
        <w:tc>
          <w:tcPr/>
          <w:p>
            <w:pPr>
              <w:pStyle w:val="Compact"/>
            </w:pPr>
            <w:r>
              <w:t xml:space="preserve">Serveur France + purge des sauvegardes (≤ 90 j)</w:t>
            </w:r>
          </w:p>
        </w:tc>
        <w:tc>
          <w:tcPr/>
          <w:p>
            <w:pPr>
              <w:pStyle w:val="Compact"/>
            </w:pPr>
            <w:r>
              <w:t xml:space="preserve">Infrastructure du client</w:t>
            </w:r>
          </w:p>
        </w:tc>
      </w:tr>
    </w:tbl>
    <w:bookmarkStart w:id="31" w:name="détail-des-étapes"/>
    <w:p>
      <w:pPr>
        <w:pStyle w:val="Heading3"/>
      </w:pPr>
      <w:r>
        <w:t xml:space="preserve">Détail des étapes</w:t>
      </w:r>
    </w:p>
    <w:p>
      <w:pPr>
        <w:pStyle w:val="FirstParagraph"/>
      </w:pPr>
      <w:r>
        <w:rPr>
          <w:b/>
          <w:bCs/>
        </w:rPr>
        <w:t xml:space="preserve">Étape 1 — Téléversement.</w:t>
      </w:r>
      <w:r>
        <w:t xml:space="preserve"> </w:t>
      </w:r>
      <w:r>
        <w:t xml:space="preserve">L'utilisateur autorisé crée une session et téléverse un fichier. Le fichier est contrôlé (format parmi mp3, wav, ogg, m4a, flac, webm, mp4, avi, mkv, mov, wmv ; taille maximale 2 500 Mo) puis placé en file d'attente au statut « pending ». L'accès ultérieur au fichier pour le streaming s'effectue par URL signée temporaire (validité 30 minutes).</w:t>
      </w:r>
    </w:p>
    <w:p>
      <w:pPr>
        <w:pStyle w:val="BodyText"/>
      </w:pPr>
      <w:r>
        <w:rPr>
          <w:b/>
          <w:bCs/>
        </w:rPr>
        <w:t xml:space="preserve">Étape 2 — Analyse antivirus.</w:t>
      </w:r>
      <w:r>
        <w:t xml:space="preserve"> </w:t>
      </w:r>
      <w:r>
        <w:t xml:space="preserve">Chaque téléversement est soumis à une analyse ClamAV avant écriture définitive. Un fichier infecté est rejeté, journalisé et donne lieu à une alerte. En cas d'indisponibilité du scanner, l'événement est tracé (comportement « fail-open » journalisé), ce qui doit être pris en compte dans votre analyse de risque.</w:t>
      </w:r>
    </w:p>
    <w:p>
      <w:pPr>
        <w:pStyle w:val="BodyText"/>
      </w:pPr>
      <w:r>
        <w:rPr>
          <w:b/>
          <w:bCs/>
        </w:rPr>
        <w:t xml:space="preserve">Étape 3 — Transcription.</w:t>
      </w:r>
      <w:r>
        <w:t xml:space="preserve"> </w:t>
      </w:r>
      <w:r>
        <w:t xml:space="preserve">Un worker de transcription interroge la file d'attente, récupère les fichiers en attente, réalise la conversion parole-vers-texte, transmet la progression puis remet le résultat sous forme de segments JSON. Les données audio sont supprimées du worker après traitement du job.</w:t>
      </w:r>
    </w:p>
    <w:p>
      <w:pPr>
        <w:pStyle w:val="BodyText"/>
      </w:pPr>
      <w:r>
        <w:rPr>
          <w:b/>
          <w:bCs/>
        </w:rPr>
        <w:t xml:space="preserve">Étape 4 — Diarisation.</w:t>
      </w:r>
      <w:r>
        <w:t xml:space="preserve"> </w:t>
      </w:r>
      <w:r>
        <w:t xml:space="preserve">La diarisation positionnelle attribue des étiquettes anonymes « Speaker 1 », « Speaker 2 », etc., indiquant que des segments appartiennent au même locuteur sans préciser son identité. Aucun gabarit vocal n'est conservé au-delà du traitement ; les représentations en mémoire vive sont libérées à la fin du job. Ce traitement positionnel n'est pas biométrique au sens de l'article 9 du RGPD.</w:t>
      </w:r>
    </w:p>
    <w:p>
      <w:pPr>
        <w:pStyle w:val="BodyText"/>
      </w:pPr>
      <w:r>
        <w:rPr>
          <w:b/>
          <w:bCs/>
        </w:rPr>
        <w:t xml:space="preserve">Étape 5 — Exploitation IA.</w:t>
      </w:r>
      <w:r>
        <w:t xml:space="preserve"> </w:t>
      </w:r>
      <w:r>
        <w:t xml:space="preserve">Par défaut, les fonctions d'IA (correction, résumé, procès-verbal, chapitrage, suggestion d'identification) sont exécutées sur des serveurs GPU maîtrisés par OHADJA exécutant vLLM avec des modèles open-weights ([À COMPLÉTER : versions exactes — Qwen 3.6 ou Mistral]), hébergés en Europe (principalement Strasbourg et Paris), ou, en Option B, dans l'infrastructure du client ; sur cette voie primaire, aucune donnée ne quitte l'EEE ni n'est transmise à un fournisseur de modèle tiers. La passerelle OpenRouter (Claude, GPT…) n'est sollicitée qu'en secours (failover), en cas d'indisponibilité de la voie primaire, et est désactivable par organisation. Les fonctions d'IA opèrent uniquement sur les sources sélectionnées par l'utilisateur, selon un principe de minimisation. Les données transmises au modèle ne sont pas utilisées pour entraîner des modèles propres à OHADJA. Depuis la version 1.7.0, chaque organisation peut définir son propre fournisseur, sa clé, son modèle et, le cas échéant, une URL de modèle auto-hébergé ; une organisation disposant de ses propres configurations n'utilise jamais les configurations de la plateforme (comportement « fail-closed »).</w:t>
      </w:r>
    </w:p>
    <w:p>
      <w:pPr>
        <w:pStyle w:val="BodyText"/>
      </w:pPr>
      <w:r>
        <w:rPr>
          <w:b/>
          <w:bCs/>
        </w:rPr>
        <w:t xml:space="preserve">Étape 6 — Corrélation vocale (optionnelle).</w:t>
      </w:r>
      <w:r>
        <w:t xml:space="preserve"> </w:t>
      </w:r>
      <w:r>
        <w:t xml:space="preserve">Traitement désactivé par défaut, décrit à l'Annexe 1 du DPA et à la fiche de conformité (document TRB-CONF-01.01). Il calcule temporairement des caractéristiques vocales en mémoire vive, sans gabarit persistant, avec destruction en fin de requête et validation humaine obligatoire des suggestions.</w:t>
      </w:r>
    </w:p>
    <w:p>
      <w:pPr>
        <w:pStyle w:val="BodyText"/>
      </w:pPr>
      <w:r>
        <w:rPr>
          <w:b/>
          <w:bCs/>
        </w:rPr>
        <w:t xml:space="preserve">Étape 7 — Exports.</w:t>
      </w:r>
      <w:r>
        <w:t xml:space="preserve"> </w:t>
      </w:r>
      <w:r>
        <w:t xml:space="preserve">Génération de documents Word et exports de données à partir des contenus produits, à la demande de l'utilisateur.</w:t>
      </w:r>
    </w:p>
    <w:p>
      <w:pPr>
        <w:pStyle w:val="BodyText"/>
      </w:pPr>
      <w:r>
        <w:rPr>
          <w:b/>
          <w:bCs/>
        </w:rPr>
        <w:t xml:space="preserve">Étape 8 — Journalisation.</w:t>
      </w:r>
      <w:r>
        <w:t xml:space="preserve"> </w:t>
      </w:r>
      <w:r>
        <w:t xml:space="preserve">Les actions significatives (connexions, créations, modifications, suppressions, téléversements, traitements, erreurs, exports, opérations d'administration) sont enregistrées dans un journal d'audit propre à chaque organisation (</w:t>
      </w:r>
      <w:r>
        <w:rPr>
          <w:rStyle w:val="VerbatimChar"/>
        </w:rPr>
        <w:t xml:space="preserve">activity_logs</w:t>
      </w:r>
      <w:r>
        <w:t xml:space="preserve">) et, pour les événements plateforme, dans</w:t>
      </w:r>
      <w:r>
        <w:t xml:space="preserve"> </w:t>
      </w:r>
      <w:r>
        <w:rPr>
          <w:rStyle w:val="VerbatimChar"/>
        </w:rPr>
        <w:t xml:space="preserve">public.audit_logs</w:t>
      </w:r>
      <w:r>
        <w:t xml:space="preserve">. Les journaux sont exportables en CSV/JSON.</w:t>
      </w:r>
    </w:p>
    <w:p>
      <w:pPr>
        <w:pStyle w:val="BodyText"/>
      </w:pPr>
      <w:r>
        <w:rPr>
          <w:b/>
          <w:bCs/>
        </w:rPr>
        <w:t xml:space="preserve">Étape 9 — Sauvegarde (Option A).</w:t>
      </w:r>
      <w:r>
        <w:t xml:space="preserve"> </w:t>
      </w:r>
      <w:r>
        <w:t xml:space="preserve">Sauvegardes quotidiennes chiffrées avec age (X25519 + ChaCha20-Poly1305) avant externalisation par rclone vers Scaleway (France). Rétention : 90 jours pour les sauvegardes complètes, 30 jours par organisation.</w:t>
      </w:r>
    </w:p>
    <w:p>
      <w:pPr>
        <w:pStyle w:val="BodyText"/>
      </w:pPr>
      <w:r>
        <w:rPr>
          <w:b/>
          <w:bCs/>
        </w:rPr>
        <w:t xml:space="preserve">Étape 10 — Suppression.</w:t>
      </w:r>
      <w:r>
        <w:t xml:space="preserve"> </w:t>
      </w:r>
      <w:r>
        <w:t xml:space="preserve">À réception d'une demande d'effacement certifiée ou en fin de contrat, un workflow de purge supprime les données de production dans le délai applicable ; les sauvegardes résiduelles sont purgées selon leur cycle (≤ 90 jours). Un certificat de suppression est émis sur demande.</w:t>
      </w:r>
    </w:p>
    <w:bookmarkEnd w:id="31"/>
    <w:bookmarkEnd w:id="32"/>
    <w:bookmarkStart w:id="33" w:name="X67f20aed3ddc665545c61ff159c12fd104115e5"/>
    <w:p>
      <w:pPr>
        <w:pStyle w:val="Heading2"/>
      </w:pPr>
      <w:r>
        <w:t xml:space="preserve">6. Répartition des responsabilités selon le mode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Domaine</w:t>
            </w:r>
          </w:p>
        </w:tc>
        <w:tc>
          <w:tcPr/>
          <w:p>
            <w:pPr>
              <w:pStyle w:val="Compact"/>
            </w:pPr>
            <w:r>
              <w:t xml:space="preserve">Option A (SaaS)</w:t>
            </w:r>
          </w:p>
        </w:tc>
        <w:tc>
          <w:tcPr/>
          <w:p>
            <w:pPr>
              <w:pStyle w:val="Compact"/>
            </w:pPr>
            <w:r>
              <w:t xml:space="preserve">Option B (on-premise)</w:t>
            </w:r>
          </w:p>
        </w:tc>
      </w:tr>
      <w:tr>
        <w:tc>
          <w:tcPr/>
          <w:p>
            <w:pPr>
              <w:pStyle w:val="Compact"/>
            </w:pPr>
            <w:r>
              <w:t xml:space="preserve">Hébergement et infrastructure</w:t>
            </w:r>
          </w:p>
        </w:tc>
        <w:tc>
          <w:tcPr/>
          <w:p>
            <w:pPr>
              <w:pStyle w:val="Compact"/>
            </w:pPr>
            <w:r>
              <w:t xml:space="preserve">OHADJA (France)</w:t>
            </w:r>
          </w:p>
        </w:tc>
        <w:tc>
          <w:tcPr/>
          <w:p>
            <w:pPr>
              <w:pStyle w:val="Compact"/>
            </w:pPr>
            <w:r>
              <w:t xml:space="preserve">Client</w:t>
            </w:r>
          </w:p>
        </w:tc>
      </w:tr>
      <w:tr>
        <w:tc>
          <w:tcPr/>
          <w:p>
            <w:pPr>
              <w:pStyle w:val="Compact"/>
            </w:pPr>
            <w:r>
              <w:t xml:space="preserve">Exploitation applicative, mises à jour</w:t>
            </w:r>
          </w:p>
        </w:tc>
        <w:tc>
          <w:tcPr/>
          <w:p>
            <w:pPr>
              <w:pStyle w:val="Compact"/>
            </w:pPr>
            <w:r>
              <w:t xml:space="preserve">OHADJA</w:t>
            </w:r>
          </w:p>
        </w:tc>
        <w:tc>
          <w:tcPr/>
          <w:p>
            <w:pPr>
              <w:pStyle w:val="Compact"/>
            </w:pPr>
            <w:r>
              <w:t xml:space="preserve">Client, sauf mission de maintenance confiée à OHADJA</w:t>
            </w:r>
          </w:p>
        </w:tc>
      </w:tr>
      <w:tr>
        <w:tc>
          <w:tcPr/>
          <w:p>
            <w:pPr>
              <w:pStyle w:val="Compact"/>
            </w:pPr>
            <w:r>
              <w:t xml:space="preserve">Sauvegardes</w:t>
            </w:r>
          </w:p>
        </w:tc>
        <w:tc>
          <w:tcPr/>
          <w:p>
            <w:pPr>
              <w:pStyle w:val="Compact"/>
            </w:pPr>
            <w:r>
              <w:t xml:space="preserve">OHADJA</w:t>
            </w:r>
          </w:p>
        </w:tc>
        <w:tc>
          <w:tcPr/>
          <w:p>
            <w:pPr>
              <w:pStyle w:val="Compact"/>
            </w:pPr>
            <w:r>
              <w:t xml:space="preserve">Client</w:t>
            </w:r>
          </w:p>
        </w:tc>
      </w:tr>
      <w:tr>
        <w:tc>
          <w:tcPr/>
          <w:p>
            <w:pPr>
              <w:pStyle w:val="Compact"/>
            </w:pPr>
            <w:r>
              <w:t xml:space="preserve">Supervision et sécurité opérationnelle</w:t>
            </w:r>
          </w:p>
        </w:tc>
        <w:tc>
          <w:tcPr/>
          <w:p>
            <w:pPr>
              <w:pStyle w:val="Compact"/>
            </w:pPr>
            <w:r>
              <w:t xml:space="preserve">OHADJA</w:t>
            </w:r>
          </w:p>
        </w:tc>
        <w:tc>
          <w:tcPr/>
          <w:p>
            <w:pPr>
              <w:pStyle w:val="Compact"/>
            </w:pPr>
            <w:r>
              <w:t xml:space="preserve">Client</w:t>
            </w:r>
          </w:p>
        </w:tc>
      </w:tr>
      <w:tr>
        <w:tc>
          <w:tcPr/>
          <w:p>
            <w:pPr>
              <w:pStyle w:val="Compact"/>
            </w:pPr>
            <w:r>
              <w:t xml:space="preserve">Traitement IA</w:t>
            </w:r>
          </w:p>
        </w:tc>
        <w:tc>
          <w:tcPr/>
          <w:p>
            <w:pPr>
              <w:pStyle w:val="Compact"/>
            </w:pPr>
            <w:r>
              <w:t xml:space="preserve">Voie primaire vLLM open-weights sur GPU maîtrisés en Europe ; secours OpenRouter désactivable</w:t>
            </w:r>
          </w:p>
        </w:tc>
        <w:tc>
          <w:tcPr/>
          <w:p>
            <w:pPr>
              <w:pStyle w:val="Compact"/>
            </w:pPr>
            <w:r>
              <w:t xml:space="preserve">Modèle auto-hébergé local, aucun flux sortant</w:t>
            </w:r>
          </w:p>
        </w:tc>
      </w:tr>
      <w:tr>
        <w:tc>
          <w:tcPr/>
          <w:p>
            <w:pPr>
              <w:pStyle w:val="Compact"/>
            </w:pPr>
            <w:r>
              <w:t xml:space="preserve">Sous-traitants ultérieurs</w:t>
            </w:r>
          </w:p>
        </w:tc>
        <w:tc>
          <w:tcPr/>
          <w:p>
            <w:pPr>
              <w:pStyle w:val="Compact"/>
            </w:pPr>
            <w:r>
              <w:t xml:space="preserve">Liste à l'Annexe 2 du DPA</w:t>
            </w:r>
          </w:p>
        </w:tc>
        <w:tc>
          <w:tcPr/>
          <w:p>
            <w:pPr>
              <w:pStyle w:val="Compact"/>
            </w:pPr>
            <w:r>
              <w:t xml:space="preserve">Aucun en variante isolée</w:t>
            </w:r>
          </w:p>
        </w:tc>
      </w:tr>
      <w:tr>
        <w:tc>
          <w:tcPr/>
          <w:p>
            <w:pPr>
              <w:pStyle w:val="Compact"/>
            </w:pPr>
            <w:r>
              <w:t xml:space="preserve">Accès aux données</w:t>
            </w:r>
          </w:p>
        </w:tc>
        <w:tc>
          <w:tcPr/>
          <w:p>
            <w:pPr>
              <w:pStyle w:val="Compact"/>
            </w:pPr>
            <w:r>
              <w:t xml:space="preserve">OHADJA sous instruction, pour support/maintenance</w:t>
            </w:r>
          </w:p>
        </w:tc>
        <w:tc>
          <w:tcPr/>
          <w:p>
            <w:pPr>
              <w:pStyle w:val="Compact"/>
            </w:pPr>
            <w:r>
              <w:t xml:space="preserve">Client ; OHADJA uniquement sur autorisation expresse</w:t>
            </w:r>
          </w:p>
        </w:tc>
      </w:tr>
    </w:tbl>
    <w:bookmarkEnd w:id="33"/>
    <w:bookmarkStart w:id="34" w:name="Xf9631ba7f091331f4a2e78c4f3c94880a428999"/>
    <w:p>
      <w:pPr>
        <w:pStyle w:val="Heading2"/>
      </w:pPr>
      <w:r>
        <w:t xml:space="preserve">7. Traitements exclus</w:t>
      </w:r>
    </w:p>
    <w:p>
      <w:pPr>
        <w:pStyle w:val="FirstParagraph"/>
      </w:pPr>
      <w:r>
        <w:t xml:space="preserve">OHADJA n'effectue, à partir des données de votre organisation :</w:t>
      </w:r>
    </w:p>
    <w:p>
      <w:pPr>
        <w:pStyle w:val="Compact"/>
        <w:numPr>
          <w:ilvl w:val="0"/>
          <w:numId w:val="1006"/>
        </w:numPr>
      </w:pPr>
      <w:r>
        <w:t xml:space="preserve">aucune réutilisation à ses propres fins ;</w:t>
      </w:r>
    </w:p>
    <w:p>
      <w:pPr>
        <w:pStyle w:val="Compact"/>
        <w:numPr>
          <w:ilvl w:val="0"/>
          <w:numId w:val="1006"/>
        </w:numPr>
      </w:pPr>
      <w:r>
        <w:t xml:space="preserve">aucun entraînement de modèles propres ;</w:t>
      </w:r>
    </w:p>
    <w:p>
      <w:pPr>
        <w:pStyle w:val="Compact"/>
        <w:numPr>
          <w:ilvl w:val="0"/>
          <w:numId w:val="1006"/>
        </w:numPr>
      </w:pPr>
      <w:r>
        <w:t xml:space="preserve">aucune constitution de gabarit biométrique persistant ;</w:t>
      </w:r>
    </w:p>
    <w:p>
      <w:pPr>
        <w:pStyle w:val="Compact"/>
        <w:numPr>
          <w:ilvl w:val="0"/>
          <w:numId w:val="1006"/>
        </w:numPr>
      </w:pPr>
      <w:r>
        <w:t xml:space="preserve">aucun transfert hors EEE en dehors des cas encadrés par le chapitre V du RGPD et décrits au document TRB-CONF-01.04 ;</w:t>
      </w:r>
    </w:p>
    <w:p>
      <w:pPr>
        <w:pStyle w:val="Compact"/>
        <w:numPr>
          <w:ilvl w:val="0"/>
          <w:numId w:val="1006"/>
        </w:numPr>
      </w:pPr>
      <w:r>
        <w:t xml:space="preserve">aucun accès au contenu des organisations par le distributeur Televic.</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34"/>
    <w:bookmarkEnd w:id="35"/>
    <w:bookmarkStart w:id="46" w:name="localisation-des-données--transcribia"/>
    <w:p>
      <w:pPr>
        <w:pStyle w:val="Heading1"/>
      </w:pPr>
      <w:r>
        <w:t xml:space="preserve">Localisation des données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TRB-CONF-01.04</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36" w:name="X267f752e79acf07865cbc4b8687b0c9db2807c7"/>
    <w:p>
      <w:pPr>
        <w:pStyle w:val="Heading2"/>
      </w:pPr>
      <w:r>
        <w:t xml:space="preserve">1. Objet du document</w:t>
      </w:r>
    </w:p>
    <w:p>
      <w:pPr>
        <w:pStyle w:val="FirstParagraph"/>
      </w:pPr>
      <w:r>
        <w:t xml:space="preserve">Le présent document précise, à l'usage de votre référent à la protection des données, de votre DSI et de votre RSSI, le lieu de traitement et de stockage de chaque catégorie de données selon le mode de déploiement retenu. Il indique de manière transparente les cas où un flux ou un traitement hors de l'Espace économique européen (EEE) est possible en Option A, ainsi que leur exclusion en Option B isolée.</w:t>
      </w:r>
    </w:p>
    <w:p>
      <w:pPr>
        <w:pStyle w:val="BodyText"/>
      </w:pPr>
      <w:r>
        <w:t xml:space="preserve">Il précise également l'engagement d'administration et de support de la solution exclusivement depuis la France ou l'Union européenne.</w:t>
      </w:r>
    </w:p>
    <w:bookmarkEnd w:id="36"/>
    <w:bookmarkStart w:id="37" w:name="X4a758c95127776db351213ceac68c95b256677c"/>
    <w:p>
      <w:pPr>
        <w:pStyle w:val="Heading2"/>
      </w:pPr>
      <w:r>
        <w:t xml:space="preserve">2. Principe général</w:t>
      </w:r>
    </w:p>
    <w:p>
      <w:pPr>
        <w:pStyle w:val="Compact"/>
        <w:numPr>
          <w:ilvl w:val="0"/>
          <w:numId w:val="1007"/>
        </w:numPr>
      </w:pPr>
      <w:r>
        <w:rPr>
          <w:b/>
          <w:bCs/>
        </w:rPr>
        <w:t xml:space="preserve">Option A — SaaS</w:t>
      </w:r>
      <w:r>
        <w:t xml:space="preserve"> </w:t>
      </w:r>
      <w:r>
        <w:t xml:space="preserve">: les données de production sont hébergées en France (datacenter de Strasbourg) et les sauvegardes chiffrées sont stockées dans l'Union européenne. Les fonctions d'intelligence artificielle reposent par défaut sur des serveurs GPU maîtrisés par OHADJA, hébergés en Europe (principalement Strasbourg et Paris), sur lesquels aucune donnée ne quitte l'EEE. Un traitement hors EEE n'est possible que de manière résiduelle, si le secours OpenRouter est sollicité et non désactivé, ou pour certaines ressources GPU de transcription — voir sections 4 et 5.</w:t>
      </w:r>
    </w:p>
    <w:p>
      <w:pPr>
        <w:pStyle w:val="Compact"/>
        <w:numPr>
          <w:ilvl w:val="0"/>
          <w:numId w:val="1007"/>
        </w:numPr>
      </w:pPr>
      <w:r>
        <w:rPr>
          <w:b/>
          <w:bCs/>
        </w:rPr>
        <w:t xml:space="preserve">Option B — On-premise isolée</w:t>
      </w:r>
      <w:r>
        <w:t xml:space="preserve"> </w:t>
      </w:r>
      <w:r>
        <w:t xml:space="preserve">: l'intégralité des composants (application, base de données, worker de transcription GPU, modèle d'IA auto-hébergé) s'exécute dans l'infrastructure du client. Aucun flux sortant n'est requis pour le fonctionnement nominal ; aucun transfert hors EEE n'a lieu.</w:t>
      </w:r>
    </w:p>
    <w:p>
      <w:pPr>
        <w:pStyle w:val="FirstParagraph"/>
      </w:pPr>
      <w:r>
        <w:t xml:space="preserve">Un</w:t>
      </w:r>
      <w:r>
        <w:t xml:space="preserve"> </w:t>
      </w:r>
      <w:r>
        <w:rPr>
          <w:b/>
          <w:bCs/>
        </w:rPr>
        <w:t xml:space="preserve">profil « UE strict »</w:t>
      </w:r>
      <w:r>
        <w:t xml:space="preserve"> </w:t>
      </w:r>
      <w:r>
        <w:t xml:space="preserve">est configurable par organisation depuis la version 1.7.0 : il restreint les traitements d'IA à des modèles hébergés dans l'UE ou auto-hébergés et sélectionne des ressources GPU en UE. Ce profil permet, en Option A, d'exclure les traitements hors EEE.</w:t>
      </w:r>
    </w:p>
    <w:bookmarkEnd w:id="37"/>
    <w:bookmarkStart w:id="38" w:name="X96da756acd02bde6da646a8600b582f53862e83"/>
    <w:p>
      <w:pPr>
        <w:pStyle w:val="Heading2"/>
      </w:pPr>
      <w:r>
        <w:t xml:space="preserve">3. Localisation par catégorie de données et par mode de déploiement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Catégorie de données</w:t>
            </w:r>
          </w:p>
        </w:tc>
        <w:tc>
          <w:tcPr/>
          <w:p>
            <w:pPr>
              <w:pStyle w:val="Compact"/>
            </w:pPr>
            <w:r>
              <w:t xml:space="preserve">Option A — SaaS (défaut)</w:t>
            </w:r>
          </w:p>
        </w:tc>
        <w:tc>
          <w:tcPr/>
          <w:p>
            <w:pPr>
              <w:pStyle w:val="Compact"/>
            </w:pPr>
            <w:r>
              <w:t xml:space="preserve">Option A — profil « UE strict »</w:t>
            </w:r>
          </w:p>
        </w:tc>
        <w:tc>
          <w:tcPr/>
          <w:p>
            <w:pPr>
              <w:pStyle w:val="Compact"/>
            </w:pPr>
            <w:r>
              <w:t xml:space="preserve">Option B — on-premise isolée</w:t>
            </w:r>
          </w:p>
        </w:tc>
      </w:tr>
      <w:tr>
        <w:tc>
          <w:tcPr/>
          <w:p>
            <w:pPr>
              <w:pStyle w:val="Compact"/>
            </w:pPr>
            <w:r>
              <w:t xml:space="preserve">Fichiers audio et vidéo</w:t>
            </w:r>
          </w:p>
        </w:tc>
        <w:tc>
          <w:tcPr/>
          <w:p>
            <w:pPr>
              <w:pStyle w:val="Compact"/>
            </w:pPr>
            <w:r>
              <w:t xml:space="preserve">France (Strasbourg)</w:t>
            </w:r>
          </w:p>
        </w:tc>
        <w:tc>
          <w:tcPr/>
          <w:p>
            <w:pPr>
              <w:pStyle w:val="Compact"/>
            </w:pPr>
            <w:r>
              <w:t xml:space="preserve">France (Strasbourg)</w:t>
            </w:r>
          </w:p>
        </w:tc>
        <w:tc>
          <w:tcPr/>
          <w:p>
            <w:pPr>
              <w:pStyle w:val="Compact"/>
            </w:pPr>
            <w:r>
              <w:t xml:space="preserve">Infrastructure du client</w:t>
            </w:r>
          </w:p>
        </w:tc>
      </w:tr>
      <w:tr>
        <w:tc>
          <w:tcPr/>
          <w:p>
            <w:pPr>
              <w:pStyle w:val="Compact"/>
            </w:pPr>
            <w:r>
              <w:t xml:space="preserve">Transcriptions et versions</w:t>
            </w:r>
          </w:p>
        </w:tc>
        <w:tc>
          <w:tcPr/>
          <w:p>
            <w:pPr>
              <w:pStyle w:val="Compact"/>
            </w:pPr>
            <w:r>
              <w:t xml:space="preserve">France (Strasbourg)</w:t>
            </w:r>
          </w:p>
        </w:tc>
        <w:tc>
          <w:tcPr/>
          <w:p>
            <w:pPr>
              <w:pStyle w:val="Compact"/>
            </w:pPr>
            <w:r>
              <w:t xml:space="preserve">France (Strasbourg)</w:t>
            </w:r>
          </w:p>
        </w:tc>
        <w:tc>
          <w:tcPr/>
          <w:p>
            <w:pPr>
              <w:pStyle w:val="Compact"/>
            </w:pPr>
            <w:r>
              <w:t xml:space="preserve">Infrastructure du client</w:t>
            </w:r>
          </w:p>
        </w:tc>
      </w:tr>
      <w:tr>
        <w:tc>
          <w:tcPr/>
          <w:p>
            <w:pPr>
              <w:pStyle w:val="Compact"/>
            </w:pPr>
            <w:r>
              <w:t xml:space="preserve">Documents préparatoires</w:t>
            </w:r>
          </w:p>
        </w:tc>
        <w:tc>
          <w:tcPr/>
          <w:p>
            <w:pPr>
              <w:pStyle w:val="Compact"/>
            </w:pPr>
            <w:r>
              <w:t xml:space="preserve">France (Strasbourg)</w:t>
            </w:r>
          </w:p>
        </w:tc>
        <w:tc>
          <w:tcPr/>
          <w:p>
            <w:pPr>
              <w:pStyle w:val="Compact"/>
            </w:pPr>
            <w:r>
              <w:t xml:space="preserve">France (Strasbourg)</w:t>
            </w:r>
          </w:p>
        </w:tc>
        <w:tc>
          <w:tcPr/>
          <w:p>
            <w:pPr>
              <w:pStyle w:val="Compact"/>
            </w:pPr>
            <w:r>
              <w:t xml:space="preserve">Infrastructure du client</w:t>
            </w:r>
          </w:p>
        </w:tc>
      </w:tr>
      <w:tr>
        <w:tc>
          <w:tcPr/>
          <w:p>
            <w:pPr>
              <w:pStyle w:val="Compact"/>
            </w:pPr>
            <w:r>
              <w:t xml:space="preserve">Métadonnées de session</w:t>
            </w:r>
          </w:p>
        </w:tc>
        <w:tc>
          <w:tcPr/>
          <w:p>
            <w:pPr>
              <w:pStyle w:val="Compact"/>
            </w:pPr>
            <w:r>
              <w:t xml:space="preserve">France (Strasbourg)</w:t>
            </w:r>
          </w:p>
        </w:tc>
        <w:tc>
          <w:tcPr/>
          <w:p>
            <w:pPr>
              <w:pStyle w:val="Compact"/>
            </w:pPr>
            <w:r>
              <w:t xml:space="preserve">France (Strasbourg)</w:t>
            </w:r>
          </w:p>
        </w:tc>
        <w:tc>
          <w:tcPr/>
          <w:p>
            <w:pPr>
              <w:pStyle w:val="Compact"/>
            </w:pPr>
            <w:r>
              <w:t xml:space="preserve">Infrastructure du client</w:t>
            </w:r>
          </w:p>
        </w:tc>
      </w:tr>
      <w:tr>
        <w:tc>
          <w:tcPr/>
          <w:p>
            <w:pPr>
              <w:pStyle w:val="Compact"/>
            </w:pPr>
            <w:r>
              <w:t xml:space="preserve">Comptes utilisateurs</w:t>
            </w:r>
          </w:p>
        </w:tc>
        <w:tc>
          <w:tcPr/>
          <w:p>
            <w:pPr>
              <w:pStyle w:val="Compact"/>
            </w:pPr>
            <w:r>
              <w:t xml:space="preserve">France (Strasbourg)</w:t>
            </w:r>
          </w:p>
        </w:tc>
        <w:tc>
          <w:tcPr/>
          <w:p>
            <w:pPr>
              <w:pStyle w:val="Compact"/>
            </w:pPr>
            <w:r>
              <w:t xml:space="preserve">France (Strasbourg)</w:t>
            </w:r>
          </w:p>
        </w:tc>
        <w:tc>
          <w:tcPr/>
          <w:p>
            <w:pPr>
              <w:pStyle w:val="Compact"/>
            </w:pPr>
            <w:r>
              <w:t xml:space="preserve">Infrastructure du client</w:t>
            </w:r>
          </w:p>
        </w:tc>
      </w:tr>
      <w:tr>
        <w:tc>
          <w:tcPr/>
          <w:p>
            <w:pPr>
              <w:pStyle w:val="Compact"/>
            </w:pPr>
            <w:r>
              <w:t xml:space="preserve">Journaux d'audit et traces techniques</w:t>
            </w:r>
          </w:p>
        </w:tc>
        <w:tc>
          <w:tcPr/>
          <w:p>
            <w:pPr>
              <w:pStyle w:val="Compact"/>
            </w:pPr>
            <w:r>
              <w:t xml:space="preserve">France (Strasbourg)</w:t>
            </w:r>
          </w:p>
        </w:tc>
        <w:tc>
          <w:tcPr/>
          <w:p>
            <w:pPr>
              <w:pStyle w:val="Compact"/>
            </w:pPr>
            <w:r>
              <w:t xml:space="preserve">France (Strasbourg)</w:t>
            </w:r>
          </w:p>
        </w:tc>
        <w:tc>
          <w:tcPr/>
          <w:p>
            <w:pPr>
              <w:pStyle w:val="Compact"/>
            </w:pPr>
            <w:r>
              <w:t xml:space="preserve">Infrastructure du client</w:t>
            </w:r>
          </w:p>
        </w:tc>
      </w:tr>
      <w:tr>
        <w:tc>
          <w:tcPr/>
          <w:p>
            <w:pPr>
              <w:pStyle w:val="Compact"/>
            </w:pPr>
            <w:r>
              <w:t xml:space="preserve">Sauvegardes (chiffrées avant externalisation)</w:t>
            </w:r>
          </w:p>
        </w:tc>
        <w:tc>
          <w:tcPr/>
          <w:p>
            <w:pPr>
              <w:pStyle w:val="Compact"/>
            </w:pPr>
            <w:r>
              <w:t xml:space="preserve">France (Scaleway)</w:t>
            </w:r>
          </w:p>
        </w:tc>
        <w:tc>
          <w:tcPr/>
          <w:p>
            <w:pPr>
              <w:pStyle w:val="Compact"/>
            </w:pPr>
            <w:r>
              <w:t xml:space="preserve">France (Scaleway)</w:t>
            </w:r>
          </w:p>
        </w:tc>
        <w:tc>
          <w:tcPr/>
          <w:p>
            <w:pPr>
              <w:pStyle w:val="Compact"/>
            </w:pPr>
            <w:r>
              <w:t xml:space="preserve">À la charge du client</w:t>
            </w:r>
          </w:p>
        </w:tc>
      </w:tr>
      <w:tr>
        <w:tc>
          <w:tcPr/>
          <w:p>
            <w:pPr>
              <w:pStyle w:val="Compact"/>
            </w:pPr>
            <w:r>
              <w:t xml:space="preserve">Traitement de transcription (GPU)</w:t>
            </w:r>
          </w:p>
        </w:tc>
        <w:tc>
          <w:tcPr/>
          <w:p>
            <w:pPr>
              <w:pStyle w:val="Compact"/>
            </w:pPr>
            <w:r>
              <w:t xml:space="preserve">GPU dédié ; ressource UE lorsque requise ;</w:t>
            </w:r>
            <w:r>
              <w:t xml:space="preserve"> </w:t>
            </w:r>
            <w:r>
              <w:rPr>
                <w:b/>
                <w:bCs/>
              </w:rPr>
              <w:t xml:space="preserve">hors EEE possible</w:t>
            </w:r>
            <w:r>
              <w:t xml:space="preserve"> </w:t>
            </w:r>
            <w:r>
              <w:t xml:space="preserve">via place de marché si non restreint</w:t>
            </w:r>
          </w:p>
        </w:tc>
        <w:tc>
          <w:tcPr/>
          <w:p>
            <w:pPr>
              <w:pStyle w:val="Compact"/>
            </w:pPr>
            <w:r>
              <w:t xml:space="preserve">UE uniquement</w:t>
            </w:r>
          </w:p>
        </w:tc>
        <w:tc>
          <w:tcPr/>
          <w:p>
            <w:pPr>
              <w:pStyle w:val="Compact"/>
            </w:pPr>
            <w:r>
              <w:t xml:space="preserve">Worker GPU local du client</w:t>
            </w:r>
          </w:p>
        </w:tc>
      </w:tr>
      <w:tr>
        <w:tc>
          <w:tcPr/>
          <w:p>
            <w:pPr>
              <w:pStyle w:val="Compact"/>
            </w:pPr>
            <w:r>
              <w:t xml:space="preserve">Traitement d'IA (LLM) — voie primaire</w:t>
            </w:r>
          </w:p>
        </w:tc>
        <w:tc>
          <w:tcPr/>
          <w:p>
            <w:pPr>
              <w:pStyle w:val="Compact"/>
            </w:pPr>
            <w:r>
              <w:t xml:space="preserve">vLLM open-weights sur GPU maîtrisés en Europe (Strasbourg / Paris) ; aucune donnée hors EEE</w:t>
            </w:r>
          </w:p>
        </w:tc>
        <w:tc>
          <w:tcPr/>
          <w:p>
            <w:pPr>
              <w:pStyle w:val="Compact"/>
            </w:pPr>
            <w:r>
              <w:t xml:space="preserve">vLLM UE ou modèle auto-hébergé ; aucune donnée hors EEE</w:t>
            </w:r>
          </w:p>
        </w:tc>
        <w:tc>
          <w:tcPr/>
          <w:p>
            <w:pPr>
              <w:pStyle w:val="Compact"/>
            </w:pPr>
            <w:r>
              <w:t xml:space="preserve">Modèle auto-hébergé local ; aucun flux sortant</w:t>
            </w:r>
          </w:p>
        </w:tc>
      </w:tr>
      <w:tr>
        <w:tc>
          <w:tcPr/>
          <w:p>
            <w:pPr>
              <w:pStyle w:val="Compact"/>
            </w:pPr>
            <w:r>
              <w:t xml:space="preserve">Traitement d'IA (LLM) — secours</w:t>
            </w:r>
          </w:p>
        </w:tc>
        <w:tc>
          <w:tcPr/>
          <w:p>
            <w:pPr>
              <w:pStyle w:val="Compact"/>
            </w:pPr>
            <w:r>
              <w:t xml:space="preserve">OpenRouter (Claude, GPT…),</w:t>
            </w:r>
            <w:r>
              <w:t xml:space="preserve"> </w:t>
            </w:r>
            <w:r>
              <w:rPr>
                <w:b/>
                <w:bCs/>
              </w:rPr>
              <w:t xml:space="preserve">hors EEE possible</w:t>
            </w:r>
            <w:r>
              <w:t xml:space="preserve">, sollicité uniquement si la voie primaire est indisponible et non désactivé</w:t>
            </w:r>
          </w:p>
        </w:tc>
        <w:tc>
          <w:tcPr/>
          <w:p>
            <w:pPr>
              <w:pStyle w:val="Compact"/>
            </w:pPr>
            <w:r>
              <w:t xml:space="preserve">Secours désactivé</w:t>
            </w:r>
          </w:p>
        </w:tc>
        <w:tc>
          <w:tcPr/>
          <w:p>
            <w:pPr>
              <w:pStyle w:val="Compact"/>
            </w:pPr>
            <w:r>
              <w:t xml:space="preserve">Sans objet (aucun secours externe)</w:t>
            </w:r>
          </w:p>
        </w:tc>
      </w:tr>
      <w:tr>
        <w:tc>
          <w:tcPr/>
          <w:p>
            <w:pPr>
              <w:pStyle w:val="Compact"/>
            </w:pPr>
            <w:r>
              <w:t xml:space="preserve">Représentations vocales temporaires (corrélation vocale)</w:t>
            </w:r>
          </w:p>
        </w:tc>
        <w:tc>
          <w:tcPr/>
          <w:p>
            <w:pPr>
              <w:pStyle w:val="Compact"/>
            </w:pPr>
            <w:r>
              <w:t xml:space="preserve">Éphémères, en mémoire vive, détruites en fin de requête ; ressource UE lorsque requise</w:t>
            </w:r>
          </w:p>
        </w:tc>
        <w:tc>
          <w:tcPr/>
          <w:p>
            <w:pPr>
              <w:pStyle w:val="Compact"/>
            </w:pPr>
            <w:r>
              <w:t xml:space="preserve">Éphémères, en mémoire vive, UE</w:t>
            </w:r>
          </w:p>
        </w:tc>
        <w:tc>
          <w:tcPr/>
          <w:p>
            <w:pPr>
              <w:pStyle w:val="Compact"/>
            </w:pPr>
            <w:r>
              <w:t xml:space="preserve">Éphémères, en mémoire vive, infrastructure du client</w:t>
            </w:r>
          </w:p>
        </w:tc>
      </w:tr>
      <w:tr>
        <w:tc>
          <w:tcPr/>
          <w:p>
            <w:pPr>
              <w:pStyle w:val="Compact"/>
            </w:pPr>
            <w:r>
              <w:t xml:space="preserve">Emails transactionnels (si activés)</w:t>
            </w:r>
          </w:p>
        </w:tc>
        <w:tc>
          <w:tcPr/>
          <w:p>
            <w:pPr>
              <w:pStyle w:val="Compact"/>
            </w:pPr>
            <w:r>
              <w:t xml:space="preserve">UE lorsque configuré</w:t>
            </w:r>
          </w:p>
        </w:tc>
        <w:tc>
          <w:tcPr/>
          <w:p>
            <w:pPr>
              <w:pStyle w:val="Compact"/>
            </w:pPr>
            <w:r>
              <w:t xml:space="preserve">UE</w:t>
            </w:r>
          </w:p>
        </w:tc>
        <w:tc>
          <w:tcPr/>
          <w:p>
            <w:pPr>
              <w:pStyle w:val="Compact"/>
            </w:pPr>
            <w:r>
              <w:t xml:space="preserve">Selon configuration du client</w:t>
            </w:r>
          </w:p>
        </w:tc>
      </w:tr>
    </w:tbl>
    <w:p>
      <w:pPr>
        <w:pStyle w:val="BodyText"/>
      </w:pPr>
      <w:r>
        <w:t xml:space="preserve">Note : les sauvegardes sont chiffrées avec age (X25519 + ChaCha20-Poly1305)</w:t>
      </w:r>
      <w:r>
        <w:t xml:space="preserve"> </w:t>
      </w:r>
      <w:r>
        <w:rPr>
          <w:b/>
          <w:bCs/>
        </w:rPr>
        <w:t xml:space="preserve">avant</w:t>
      </w:r>
      <w:r>
        <w:t xml:space="preserve"> </w:t>
      </w:r>
      <w:r>
        <w:t xml:space="preserve">toute externalisation ; les clés de déchiffrement sont détenues par OHADJA. L'hébergeur du stockage de sauvegarde n'a donc accès qu'à des données chiffrées.</w:t>
      </w:r>
    </w:p>
    <w:bookmarkEnd w:id="38"/>
    <w:bookmarkStart w:id="39" w:name="Xf11282247053c32d741cabaa3f1d559af0fa28a"/>
    <w:p>
      <w:pPr>
        <w:pStyle w:val="Heading2"/>
      </w:pPr>
      <w:r>
        <w:t xml:space="preserve">4. Infrastructure de production (Option 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Hébergeur</w:t>
            </w:r>
          </w:p>
        </w:tc>
        <w:tc>
          <w:tcPr/>
          <w:p>
            <w:pPr>
              <w:pStyle w:val="Compact"/>
            </w:pPr>
            <w:r>
              <w:t xml:space="preserve">Hostinger (opérations UE)</w:t>
            </w:r>
          </w:p>
        </w:tc>
      </w:tr>
      <w:tr>
        <w:tc>
          <w:tcPr/>
          <w:p>
            <w:pPr>
              <w:pStyle w:val="Compact"/>
            </w:pPr>
            <w:r>
              <w:t xml:space="preserve">Localisation du serveur de production</w:t>
            </w:r>
          </w:p>
        </w:tc>
        <w:tc>
          <w:tcPr/>
          <w:p>
            <w:pPr>
              <w:pStyle w:val="Compact"/>
            </w:pPr>
            <w:r>
              <w:t xml:space="preserve">Datacenter de Strasbourg, France</w:t>
            </w:r>
          </w:p>
        </w:tc>
      </w:tr>
      <w:tr>
        <w:tc>
          <w:tcPr/>
          <w:p>
            <w:pPr>
              <w:pStyle w:val="Compact"/>
            </w:pPr>
            <w:r>
              <w:t xml:space="preserve">Stockage principal</w:t>
            </w:r>
          </w:p>
        </w:tc>
        <w:tc>
          <w:tcPr/>
          <w:p>
            <w:pPr>
              <w:pStyle w:val="Compact"/>
            </w:pPr>
            <w:r>
              <w:t xml:space="preserve">Disque NVMe local, serveur France</w:t>
            </w:r>
          </w:p>
        </w:tc>
      </w:tr>
      <w:tr>
        <w:tc>
          <w:tcPr/>
          <w:p>
            <w:pPr>
              <w:pStyle w:val="Compact"/>
            </w:pPr>
            <w:r>
              <w:t xml:space="preserve">Stockage des sauvegardes</w:t>
            </w:r>
          </w:p>
        </w:tc>
        <w:tc>
          <w:tcPr/>
          <w:p>
            <w:pPr>
              <w:pStyle w:val="Compact"/>
            </w:pPr>
            <w:r>
              <w:t xml:space="preserve">France (Scaleway)</w:t>
            </w:r>
          </w:p>
        </w:tc>
      </w:tr>
      <w:tr>
        <w:tc>
          <w:tcPr/>
          <w:p>
            <w:pPr>
              <w:pStyle w:val="Compact"/>
            </w:pPr>
            <w:r>
              <w:t xml:space="preserve">Chiffrement des sauvegardes</w:t>
            </w:r>
          </w:p>
        </w:tc>
        <w:tc>
          <w:tcPr/>
          <w:p>
            <w:pPr>
              <w:pStyle w:val="Compact"/>
            </w:pPr>
            <w:r>
              <w:t xml:space="preserve">age (X25519 + ChaCha20-Poly1305), avant externalisation</w:t>
            </w:r>
          </w:p>
        </w:tc>
      </w:tr>
      <w:tr>
        <w:tc>
          <w:tcPr/>
          <w:p>
            <w:pPr>
              <w:pStyle w:val="Compact"/>
            </w:pPr>
            <w:r>
              <w:t xml:space="preserve">Chiffrement du disque système</w:t>
            </w:r>
          </w:p>
        </w:tc>
        <w:tc>
          <w:tcPr/>
          <w:p>
            <w:pPr>
              <w:pStyle w:val="Compact"/>
            </w:pPr>
            <w:r>
              <w:t xml:space="preserve">Selon l'offre du datacenter ; mise à niveau (LUKS/gocryptfs) planifiée</w:t>
            </w:r>
          </w:p>
        </w:tc>
      </w:tr>
      <w:tr>
        <w:tc>
          <w:tcPr/>
          <w:p>
            <w:pPr>
              <w:pStyle w:val="Compact"/>
            </w:pPr>
            <w:r>
              <w:t xml:space="preserve">Serveurs d'inférence IA (voie primaire)</w:t>
            </w:r>
          </w:p>
        </w:tc>
        <w:tc>
          <w:tcPr/>
          <w:p>
            <w:pPr>
              <w:pStyle w:val="Compact"/>
            </w:pPr>
            <w:r>
              <w:t xml:space="preserve">GPU maîtrisés par OHADJA, hébergés en Europe (principalement Strasbourg et Paris), exécutant vLLM avec modèles open-weights</w:t>
            </w:r>
          </w:p>
        </w:tc>
      </w:tr>
      <w:tr>
        <w:tc>
          <w:tcPr/>
          <w:p>
            <w:pPr>
              <w:pStyle w:val="Compact"/>
            </w:pPr>
            <w:r>
              <w:t xml:space="preserve">Accès physique au datacenter</w:t>
            </w:r>
          </w:p>
        </w:tc>
        <w:tc>
          <w:tcPr/>
          <w:p>
            <w:pPr>
              <w:pStyle w:val="Compact"/>
            </w:pPr>
            <w:r>
              <w:t xml:space="preserve">Hostinger ; aucun accès humain aux données applicatives</w:t>
            </w:r>
          </w:p>
        </w:tc>
      </w:tr>
    </w:tbl>
    <w:bookmarkEnd w:id="39"/>
    <w:bookmarkStart w:id="43" w:name="X700250886d055f58feeb2a5500db370e2d232dd"/>
    <w:p>
      <w:pPr>
        <w:pStyle w:val="Heading2"/>
      </w:pPr>
      <w:r>
        <w:t xml:space="preserve">5. Flux et traitements hors EEE possibles en Option A — mention honnête</w:t>
      </w:r>
    </w:p>
    <w:p>
      <w:pPr>
        <w:pStyle w:val="FirstParagraph"/>
      </w:pPr>
      <w:r>
        <w:t xml:space="preserve">Par souci de transparence vis-à-vis de vos analyses de conformité, les cas suivants sont explicitement signalés.</w:t>
      </w:r>
    </w:p>
    <w:bookmarkStart w:id="40" w:name="X5b78bac1412b7cfd1ffb7b51c9d8c6cc21919c5"/>
    <w:p>
      <w:pPr>
        <w:pStyle w:val="Heading3"/>
      </w:pPr>
      <w:r>
        <w:t xml:space="preserve">5.1 Fonctions d'intelligence artificielle</w:t>
      </w:r>
    </w:p>
    <w:p>
      <w:pPr>
        <w:pStyle w:val="FirstParagraph"/>
      </w:pPr>
      <w:r>
        <w:rPr>
          <w:b/>
          <w:bCs/>
        </w:rPr>
        <w:t xml:space="preserve">Voie primaire — aucun transfert hors EEE.</w:t>
      </w:r>
      <w:r>
        <w:t xml:space="preserve"> </w:t>
      </w:r>
      <w:r>
        <w:t xml:space="preserve">Par défaut, les fonctions d'IA (correction, résumé, procès-verbal, chapitrage, suggestion d'identification) sont exécutées sur des serveurs GPU maîtrisés par OHADJA exécutant vLLM avec des modèles open-weights ([À COMPLÉTER : versions exactes — Qwen 3.6 ou Mistral]), hébergés en Europe (principalement Strasbourg et Paris) — ou, en Option B, dans l'infrastructure du client. Sur cette voie, aucune donnée n'est transmise à un fournisseur de modèle tiers et aucun traitement n'a lieu hors EEE.</w:t>
      </w:r>
    </w:p>
    <w:p>
      <w:pPr>
        <w:pStyle w:val="BodyText"/>
      </w:pPr>
      <w:r>
        <w:rPr>
          <w:b/>
          <w:bCs/>
        </w:rPr>
        <w:t xml:space="preserve">Voie de secours — transfert hors EEE possible.</w:t>
      </w:r>
      <w:r>
        <w:t xml:space="preserve"> </w:t>
      </w:r>
      <w:r>
        <w:t xml:space="preserve">En cas d'indisponibilité de la voie primaire, et sauf désactivation par votre organisation, un basculement (failover) vers la passerelle</w:t>
      </w:r>
      <w:r>
        <w:t xml:space="preserve"> </w:t>
      </w:r>
      <w:r>
        <w:rPr>
          <w:b/>
          <w:bCs/>
        </w:rPr>
        <w:t xml:space="preserve">OpenRouter</w:t>
      </w:r>
      <w:r>
        <w:t xml:space="preserve"> </w:t>
      </w:r>
      <w:r>
        <w:t xml:space="preserve">peut solliciter des</w:t>
      </w:r>
      <w:r>
        <w:t xml:space="preserve"> </w:t>
      </w:r>
      <w:r>
        <w:rPr>
          <w:b/>
          <w:bCs/>
        </w:rPr>
        <w:t xml:space="preserve">fournisseurs de modèles établis aux États-Unis</w:t>
      </w:r>
      <w:r>
        <w:t xml:space="preserve"> </w:t>
      </w:r>
      <w:r>
        <w:t xml:space="preserve">(par exemple Anthropic ou OpenAI). Ce secours constitue alors un transfert hors EEE, encadré comme suit :</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Détail</w:t>
            </w:r>
          </w:p>
        </w:tc>
      </w:tr>
      <w:tr>
        <w:tc>
          <w:tcPr/>
          <w:p>
            <w:pPr>
              <w:pStyle w:val="Compact"/>
            </w:pPr>
            <w:r>
              <w:t xml:space="preserve">Sous-traitants concernés</w:t>
            </w:r>
          </w:p>
        </w:tc>
        <w:tc>
          <w:tcPr/>
          <w:p>
            <w:pPr>
              <w:pStyle w:val="Compact"/>
            </w:pPr>
            <w:r>
              <w:t xml:space="preserve">OpenRouter Inc. (USA) ; fournisseurs de modèles via OpenRouter (Anthropic, OpenAI…)</w:t>
            </w:r>
          </w:p>
        </w:tc>
      </w:tr>
      <w:tr>
        <w:tc>
          <w:tcPr/>
          <w:p>
            <w:pPr>
              <w:pStyle w:val="Compact"/>
            </w:pPr>
            <w:r>
              <w:t xml:space="preserve">Déclenchement</w:t>
            </w:r>
          </w:p>
        </w:tc>
        <w:tc>
          <w:tcPr/>
          <w:p>
            <w:pPr>
              <w:pStyle w:val="Compact"/>
            </w:pPr>
            <w:r>
              <w:t xml:space="preserve">Uniquement en secours, si la voie primaire vLLM UE est indisponible ; désactivable par organisation</w:t>
            </w:r>
          </w:p>
        </w:tc>
      </w:tr>
      <w:tr>
        <w:tc>
          <w:tcPr/>
          <w:p>
            <w:pPr>
              <w:pStyle w:val="Compact"/>
            </w:pPr>
            <w:r>
              <w:t xml:space="preserve">Pays de traitement</w:t>
            </w:r>
          </w:p>
        </w:tc>
        <w:tc>
          <w:tcPr/>
          <w:p>
            <w:pPr>
              <w:pStyle w:val="Compact"/>
            </w:pPr>
            <w:r>
              <w:t xml:space="preserve">États-Unis possible selon le modèle</w:t>
            </w:r>
          </w:p>
        </w:tc>
      </w:tr>
      <w:tr>
        <w:tc>
          <w:tcPr/>
          <w:p>
            <w:pPr>
              <w:pStyle w:val="Compact"/>
            </w:pPr>
            <w:r>
              <w:t xml:space="preserve">Mécanisme de transfert (chapitre V RGPD)</w:t>
            </w:r>
          </w:p>
        </w:tc>
        <w:tc>
          <w:tcPr/>
          <w:p>
            <w:pPr>
              <w:pStyle w:val="Compact"/>
            </w:pPr>
            <w:r>
              <w:t xml:space="preserve">Clauses contractuelles types des fournisseurs ; le cas échéant Data Privacy Framework</w:t>
            </w:r>
          </w:p>
        </w:tc>
      </w:tr>
      <w:tr>
        <w:tc>
          <w:tcPr/>
          <w:p>
            <w:pPr>
              <w:pStyle w:val="Compact"/>
            </w:pPr>
            <w:r>
              <w:t xml:space="preserve">Mesures supplémentaires</w:t>
            </w:r>
          </w:p>
        </w:tc>
        <w:tc>
          <w:tcPr/>
          <w:p>
            <w:pPr>
              <w:pStyle w:val="Compact"/>
            </w:pPr>
            <w:r>
              <w:t xml:space="preserve">TLS en transit, minimisation des données transmises, absence d'entraînement sur vos données (« no-train »), absence de stockage durable</w:t>
            </w:r>
          </w:p>
        </w:tc>
      </w:tr>
      <w:tr>
        <w:tc>
          <w:tcPr/>
          <w:p>
            <w:pPr>
              <w:pStyle w:val="Compact"/>
            </w:pPr>
            <w:r>
              <w:t xml:space="preserve">Suppression du secours</w:t>
            </w:r>
          </w:p>
        </w:tc>
        <w:tc>
          <w:tcPr/>
          <w:p>
            <w:pPr>
              <w:pStyle w:val="Compact"/>
            </w:pPr>
            <w:r>
              <w:t xml:space="preserve">Profil « UE strict » (secours désactivé) ou Option B isolée</w:t>
            </w:r>
          </w:p>
        </w:tc>
      </w:tr>
    </w:tbl>
    <w:p>
      <w:pPr>
        <w:pStyle w:val="BodyText"/>
      </w:pPr>
      <w:r>
        <w:rPr>
          <w:b/>
          <w:bCs/>
        </w:rPr>
        <w:t xml:space="preserve">Routes LLM par organisation.</w:t>
      </w:r>
      <w:r>
        <w:t xml:space="preserve"> </w:t>
      </w:r>
      <w:r>
        <w:t xml:space="preserve">Depuis la version 1.7.0, chaque organisation peut définir ses propres routes LLM (fournisseur, modèle, point de terminaison auto-hébergé), en mode fail-closed et avec protection anti-SSRF, ce qui lui permet de maîtriser entièrement le lieu de traitement de l'IA.</w:t>
      </w:r>
    </w:p>
    <w:bookmarkEnd w:id="40"/>
    <w:bookmarkStart w:id="41" w:name="X2285286b7bc0b60388fb6c9db2644919089fce5"/>
    <w:p>
      <w:pPr>
        <w:pStyle w:val="Heading3"/>
      </w:pPr>
      <w:r>
        <w:t xml:space="preserve">5.2 Ressources GPU de transcription</w:t>
      </w:r>
    </w:p>
    <w:p>
      <w:pPr>
        <w:pStyle w:val="FirstParagraph"/>
      </w:pPr>
      <w:r>
        <w:t xml:space="preserve">Le traitement de transcription peut recourir à des ressources GPU issues d'une place de marché (Vast.ai) lorsque cette option est activée. OHADJA sélectionne des machines situées en UE lorsque cette localisation est requise ; à défaut, un traitement hors EEE est possible.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Détail</w:t>
            </w:r>
          </w:p>
        </w:tc>
      </w:tr>
      <w:tr>
        <w:tc>
          <w:tcPr/>
          <w:p>
            <w:pPr>
              <w:pStyle w:val="Compact"/>
            </w:pPr>
            <w:r>
              <w:t xml:space="preserve">Fournisseur</w:t>
            </w:r>
          </w:p>
        </w:tc>
        <w:tc>
          <w:tcPr/>
          <w:p>
            <w:pPr>
              <w:pStyle w:val="Compact"/>
            </w:pPr>
            <w:r>
              <w:t xml:space="preserve">Vast.ai (place de marché, USA) ou GPU dédié</w:t>
            </w:r>
          </w:p>
        </w:tc>
      </w:tr>
      <w:tr>
        <w:tc>
          <w:tcPr/>
          <w:p>
            <w:pPr>
              <w:pStyle w:val="Compact"/>
            </w:pPr>
            <w:r>
              <w:t xml:space="preserve">Pays de traitement</w:t>
            </w:r>
          </w:p>
        </w:tc>
        <w:tc>
          <w:tcPr/>
          <w:p>
            <w:pPr>
              <w:pStyle w:val="Compact"/>
            </w:pPr>
            <w:r>
              <w:t xml:space="preserve">UE lorsque requis ; hors EEE possible sinon</w:t>
            </w:r>
          </w:p>
        </w:tc>
      </w:tr>
      <w:tr>
        <w:tc>
          <w:tcPr/>
          <w:p>
            <w:pPr>
              <w:pStyle w:val="Compact"/>
            </w:pPr>
            <w:r>
              <w:t xml:space="preserve">Mesures</w:t>
            </w:r>
          </w:p>
        </w:tc>
        <w:tc>
          <w:tcPr/>
          <w:p>
            <w:pPr>
              <w:pStyle w:val="Compact"/>
            </w:pPr>
            <w:r>
              <w:t xml:space="preserve">Traitement automatisé, suppression des données après le job</w:t>
            </w:r>
          </w:p>
        </w:tc>
      </w:tr>
      <w:tr>
        <w:tc>
          <w:tcPr/>
          <w:p>
            <w:pPr>
              <w:pStyle w:val="Compact"/>
            </w:pPr>
            <w:r>
              <w:t xml:space="preserve">Alternative sans hors EEE</w:t>
            </w:r>
          </w:p>
        </w:tc>
        <w:tc>
          <w:tcPr/>
          <w:p>
            <w:pPr>
              <w:pStyle w:val="Compact"/>
            </w:pPr>
            <w:r>
              <w:t xml:space="preserve">GPU dédié UE, profil « UE strict », ou Option B isolée</w:t>
            </w:r>
          </w:p>
        </w:tc>
      </w:tr>
    </w:tbl>
    <w:bookmarkEnd w:id="41"/>
    <w:bookmarkStart w:id="42" w:name="Xa78361d18e82bf892f473781e2b3906efd4da02"/>
    <w:p>
      <w:pPr>
        <w:pStyle w:val="Heading3"/>
      </w:pPr>
      <w:r>
        <w:t xml:space="preserve">5.3 Synthèse</w:t>
      </w:r>
    </w:p>
    <w:p>
      <w:pPr>
        <w:pStyle w:val="FirstParagraph"/>
      </w:pPr>
      <w:r>
        <w:t xml:space="preserve">En configuration par défaut, la voie primaire d'IA (vLLM sur GPU maîtrisés en Europe) n'implique aucun transfert hors EEE. Les seuls cas résiduels de traitement hors EEE en Option A sont le secours OpenRouter (s'il est sollicité et non désactivé) et certaines ressources GPU de transcription. Pour exclure totalement ces cas résiduels, deux voies garantissent l'absence de tout traitement hors EEE :</w:t>
      </w:r>
    </w:p>
    <w:p>
      <w:pPr>
        <w:pStyle w:val="Compact"/>
        <w:numPr>
          <w:ilvl w:val="0"/>
          <w:numId w:val="1008"/>
        </w:numPr>
      </w:pPr>
      <w:r>
        <w:rPr>
          <w:b/>
          <w:bCs/>
        </w:rPr>
        <w:t xml:space="preserve">Option A avec profil « UE strict »</w:t>
      </w:r>
      <w:r>
        <w:t xml:space="preserve"> </w:t>
      </w:r>
      <w:r>
        <w:t xml:space="preserve">: voie primaire vLLM UE ou modèle auto-hébergé, secours OpenRouter désactivé, ressources GPU de transcription en UE ;</w:t>
      </w:r>
    </w:p>
    <w:p>
      <w:pPr>
        <w:pStyle w:val="Compact"/>
        <w:numPr>
          <w:ilvl w:val="0"/>
          <w:numId w:val="1008"/>
        </w:numPr>
      </w:pPr>
      <w:r>
        <w:rPr>
          <w:b/>
          <w:bCs/>
        </w:rPr>
        <w:t xml:space="preserve">Option B on-premise isolée</w:t>
      </w:r>
      <w:r>
        <w:t xml:space="preserve"> </w:t>
      </w:r>
      <w:r>
        <w:t xml:space="preserve">: aucun flux sortant, tous les traitements dans l'infrastructure du client.</w:t>
      </w:r>
    </w:p>
    <w:bookmarkEnd w:id="42"/>
    <w:bookmarkEnd w:id="43"/>
    <w:bookmarkStart w:id="44" w:name="Xf27fc752bd766297e25b0fbec12501eb2c919fc"/>
    <w:p>
      <w:pPr>
        <w:pStyle w:val="Heading2"/>
      </w:pPr>
      <w:r>
        <w:t xml:space="preserve">6. Administration et support depuis la France / l'UE</w:t>
      </w:r>
    </w:p>
    <w:p>
      <w:pPr>
        <w:pStyle w:val="FirstParagraph"/>
      </w:pPr>
      <w:r>
        <w:t xml:space="preserve">OHADJA s'engage contractuellement à réaliser l'administration et le support de la solution</w:t>
      </w:r>
      <w:r>
        <w:t xml:space="preserve"> </w:t>
      </w:r>
      <w:r>
        <w:rPr>
          <w:b/>
          <w:bCs/>
        </w:rPr>
        <w:t xml:space="preserve">exclusivement depuis la France ou l'Union européenne</w:t>
      </w:r>
      <w:r>
        <w:t xml:space="preserve">. Aucun accès d'administration aux données de production n'est effectué depuis un pays tiers, et aucun transfert de données vers un pays tiers ne résulte des opérations d'administration ou de support.</w:t>
      </w:r>
    </w:p>
    <w:p>
      <w:pPr>
        <w:pStyle w:val="BodyText"/>
      </w:pPr>
      <w:r>
        <w:rPr>
          <w:b/>
          <w:bCs/>
        </w:rPr>
        <w:t xml:space="preserve">Encadrement mis en œuvre :</w:t>
      </w:r>
    </w:p>
    <w:p>
      <w:pPr>
        <w:pStyle w:val="Compact"/>
        <w:numPr>
          <w:ilvl w:val="0"/>
          <w:numId w:val="1009"/>
        </w:numPr>
      </w:pPr>
      <w:r>
        <w:t xml:space="preserve">administration et support exclusivement depuis la France ou l'Union européenne ;</w:t>
      </w:r>
    </w:p>
    <w:p>
      <w:pPr>
        <w:pStyle w:val="Compact"/>
        <w:numPr>
          <w:ilvl w:val="0"/>
          <w:numId w:val="1009"/>
        </w:numPr>
      </w:pPr>
      <w:r>
        <w:t xml:space="preserve">accès nominatifs, réservés aux personnes habilitées ;</w:t>
      </w:r>
    </w:p>
    <w:p>
      <w:pPr>
        <w:pStyle w:val="Compact"/>
        <w:numPr>
          <w:ilvl w:val="0"/>
          <w:numId w:val="1009"/>
        </w:numPr>
      </w:pPr>
      <w:r>
        <w:t xml:space="preserve">connexion SSH par clé uniquement, double authentification, TLS ;</w:t>
      </w:r>
    </w:p>
    <w:p>
      <w:pPr>
        <w:pStyle w:val="Compact"/>
        <w:numPr>
          <w:ilvl w:val="0"/>
          <w:numId w:val="1009"/>
        </w:numPr>
      </w:pPr>
      <w:r>
        <w:t xml:space="preserve">journalisation des accès d'administration ;</w:t>
      </w:r>
    </w:p>
    <w:p>
      <w:pPr>
        <w:pStyle w:val="Compact"/>
        <w:numPr>
          <w:ilvl w:val="0"/>
          <w:numId w:val="1009"/>
        </w:numPr>
      </w:pPr>
      <w:r>
        <w:t xml:space="preserve">aucune copie locale des données de production sur le poste de l'administrateur ;</w:t>
      </w:r>
    </w:p>
    <w:p>
      <w:pPr>
        <w:pStyle w:val="Compact"/>
        <w:numPr>
          <w:ilvl w:val="0"/>
          <w:numId w:val="1009"/>
        </w:numPr>
      </w:pPr>
      <w:r>
        <w:t xml:space="preserve">poste de travail chiffré.</w:t>
      </w:r>
    </w:p>
    <w:p>
      <w:pPr>
        <w:pStyle w:val="FirstParagraph"/>
      </w:pPr>
      <w:r>
        <w:t xml:space="preserve">Cet engagement est cohérent avec la qualité d'OHADJA, éditeur établi en France (siège social à Paris).</w:t>
      </w:r>
    </w:p>
    <w:bookmarkEnd w:id="44"/>
    <w:bookmarkStart w:id="45" w:name="X8b67c202385f36df7b88c0ca51f80bcd914f097"/>
    <w:p>
      <w:pPr>
        <w:pStyle w:val="Heading2"/>
      </w:pPr>
      <w:r>
        <w:t xml:space="preserve">7. Synoptique des flux</w:t>
      </w:r>
    </w:p>
    <w:p>
      <w:pPr>
        <w:pStyle w:val="FirstParagraph"/>
      </w:pPr>
      <w:r>
        <w:t xml:space="preserve">Le schéma des flux de données (téléversement, transcription, IA, sauvegarde) est remis au format Visio (.vsdx) lors de la phase d'implantation, sur la base de la description figurant au document TRB-CONF-01.03.</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45"/>
    <w:bookmarkEnd w:id="46"/>
    <w:bookmarkStart w:id="60" w:name="X086e6a2779536af984993aabbd9c9a847a687e2"/>
    <w:p>
      <w:pPr>
        <w:pStyle w:val="Heading1"/>
      </w:pPr>
      <w:r>
        <w:t xml:space="preserve">Identification des acteurs et rôles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OHA-RGPD-01</w:t>
            </w:r>
          </w:p>
        </w:tc>
      </w:tr>
      <w:tr>
        <w:tc>
          <w:tcPr/>
          <w:p>
            <w:pPr>
              <w:pStyle w:val="Compact"/>
            </w:pPr>
            <w:r>
              <w:t xml:space="preserve">Objet</w:t>
            </w:r>
          </w:p>
        </w:tc>
        <w:tc>
          <w:tcPr/>
          <w:p>
            <w:pPr>
              <w:pStyle w:val="Compact"/>
            </w:pPr>
            <w:r>
              <w:t xml:space="preserve">Identification des acteurs et de leurs rôles au sens du RGPD</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Destinataire</w:t>
            </w:r>
          </w:p>
        </w:tc>
        <w:tc>
          <w:tcPr/>
          <w:p>
            <w:pPr>
              <w:pStyle w:val="Compact"/>
            </w:pPr>
            <w:r>
              <w:t xml:space="preserve">Organisation cliente (document type)</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47" w:name="X4c77b53808a8ef02d48fd63b082b5729319d6d1"/>
    <w:p>
      <w:pPr>
        <w:pStyle w:val="Heading2"/>
      </w:pPr>
      <w:r>
        <w:t xml:space="preserve">1. Objet du document</w:t>
      </w:r>
    </w:p>
    <w:p>
      <w:pPr>
        <w:pStyle w:val="FirstParagraph"/>
      </w:pPr>
      <w:r>
        <w:t xml:space="preserve">Le présent document identifie de manière précise l'ensemble des acteurs intervenant dans la fourniture et l'exploitation de la solution TranscribIA, et qualifie le rôle de chacun au sens du Règlement (UE) 2016/679 (ci-après « RGPD »). Il précise, pour chaque acteur, les opérations effectivement réalisées et les conditions d'accès aux données à caractère personnel.</w:t>
      </w:r>
    </w:p>
    <w:p>
      <w:pPr>
        <w:pStyle w:val="BodyText"/>
      </w:pPr>
      <w:r>
        <w:t xml:space="preserve">Il constitue le premier volet du dossier RGPD approfondi remis au Client. Les sous-traitants ultérieurs techniques sont seulement cités ici ; ils sont détaillés au document OHA-RGPD-03 (« Liste des sous-traitants ultérieurs »). Les flux de données et les accès humains sont détaillés au document OHA-RGPD-02 (« Matrice des flux de données »).</w:t>
      </w:r>
    </w:p>
    <w:p>
      <w:pPr>
        <w:pStyle w:val="BodyText"/>
      </w:pPr>
      <w:r>
        <w:t xml:space="preserve">Point d'attention terminologique : la demande du Client cite nommément</w:t>
      </w:r>
      <w:r>
        <w:t xml:space="preserve"> </w:t>
      </w:r>
      <w:r>
        <w:rPr>
          <w:b/>
          <w:bCs/>
        </w:rPr>
        <w:t xml:space="preserve">AMBASSADIA</w:t>
      </w:r>
      <w:r>
        <w:t xml:space="preserve">. Il convient de distinguer deux entités du même groupe fondateur :</w:t>
      </w:r>
      <w:r>
        <w:t xml:space="preserve"> </w:t>
      </w:r>
      <w:r>
        <w:rPr>
          <w:b/>
          <w:bCs/>
        </w:rPr>
        <w:t xml:space="preserve">OHADJA</w:t>
      </w:r>
      <w:r>
        <w:t xml:space="preserve">, éditeur du logiciel et sous-traitant au sens de l'article 28, et</w:t>
      </w:r>
      <w:r>
        <w:t xml:space="preserve"> </w:t>
      </w:r>
      <w:r>
        <w:rPr>
          <w:b/>
          <w:bCs/>
        </w:rPr>
        <w:t xml:space="preserve">AMBASSADIA SARL</w:t>
      </w:r>
      <w:r>
        <w:t xml:space="preserve">, revendeur/distributeur commercial qui</w:t>
      </w:r>
      <w:r>
        <w:t xml:space="preserve"> </w:t>
      </w:r>
      <w:r>
        <w:rPr>
          <w:b/>
          <w:bCs/>
        </w:rPr>
        <w:t xml:space="preserve">n'accède pas aux données de production</w:t>
      </w:r>
      <w:r>
        <w:t xml:space="preserve">. Le présent document explicite ce partage des rôles.</w:t>
      </w:r>
    </w:p>
    <w:p>
      <w:pPr>
        <w:pStyle w:val="BodyText"/>
      </w:pPr>
      <w:r>
        <w:t xml:space="preserve">Deux modes de fourniture sont possibles et conditionnent le périmètre des rôles :</w:t>
      </w:r>
    </w:p>
    <w:p>
      <w:pPr>
        <w:pStyle w:val="Compact"/>
        <w:numPr>
          <w:ilvl w:val="0"/>
          <w:numId w:val="1010"/>
        </w:numPr>
      </w:pPr>
      <w:r>
        <w:rPr>
          <w:b/>
          <w:bCs/>
        </w:rPr>
        <w:t xml:space="preserve">Option A — SaaS souverain</w:t>
      </w:r>
      <w:r>
        <w:t xml:space="preserve"> </w:t>
      </w:r>
      <w:r>
        <w:t xml:space="preserve">: la solution est hébergée et exploitée par OHADJA (production :</w:t>
      </w:r>
      <w:r>
        <w:t xml:space="preserve"> </w:t>
      </w:r>
      <w:r>
        <w:rPr>
          <w:rStyle w:val="VerbatimChar"/>
        </w:rPr>
        <w:t xml:space="preserve">client.transcribia.eu</w:t>
      </w:r>
      <w:r>
        <w:t xml:space="preserve">, domaine opérationnel, serveur situé en France).</w:t>
      </w:r>
    </w:p>
    <w:p>
      <w:pPr>
        <w:pStyle w:val="Compact"/>
        <w:numPr>
          <w:ilvl w:val="0"/>
          <w:numId w:val="1010"/>
        </w:numPr>
      </w:pPr>
      <w:r>
        <w:rPr>
          <w:b/>
          <w:bCs/>
        </w:rPr>
        <w:t xml:space="preserve">Option B — On-premise</w:t>
      </w:r>
      <w:r>
        <w:t xml:space="preserve"> </w:t>
      </w:r>
      <w:r>
        <w:t xml:space="preserve">: la solution est déployée dans l'infrastructure du Client. Dans la variante « isolée » (aucun flux sortant), tous les composants s'exécutent chez le client, y compris le moteur de transcription et un modèle de langage auto-hébergé.</w:t>
      </w:r>
    </w:p>
    <w:bookmarkEnd w:id="47"/>
    <w:bookmarkStart w:id="54" w:name="X3505121eb9afb15f1ae15e1ef82d98b9e19d5cc"/>
    <w:p>
      <w:pPr>
        <w:pStyle w:val="Heading2"/>
      </w:pPr>
      <w:r>
        <w:t xml:space="preserve">2. Fiches acteurs</w:t>
      </w:r>
    </w:p>
    <w:bookmarkStart w:id="48" w:name="X817a89d71e32c8dcf2c17305e31426acdb39f22"/>
    <w:p>
      <w:pPr>
        <w:pStyle w:val="Heading3"/>
      </w:pPr>
      <w:r>
        <w:t xml:space="preserve">2.1 OHADJA — éditeur et sous-traitant (article 28 RGPD)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Dénomination</w:t>
            </w:r>
          </w:p>
        </w:tc>
        <w:tc>
          <w:tcPr/>
          <w:p>
            <w:pPr>
              <w:pStyle w:val="Compact"/>
            </w:pPr>
            <w:r>
              <w:t xml:space="preserve">OHADJA</w:t>
            </w:r>
          </w:p>
        </w:tc>
      </w:tr>
      <w:tr>
        <w:tc>
          <w:tcPr/>
          <w:p>
            <w:pPr>
              <w:pStyle w:val="Compact"/>
            </w:pPr>
            <w:r>
              <w:t xml:space="preserve">Forme juridique</w:t>
            </w:r>
          </w:p>
        </w:tc>
        <w:tc>
          <w:tcPr/>
          <w:p>
            <w:pPr>
              <w:pStyle w:val="Compact"/>
            </w:pPr>
            <w:r>
              <w:t xml:space="preserve">Société par actions simplifiée (SAS)</w:t>
            </w:r>
          </w:p>
        </w:tc>
      </w:tr>
      <w:tr>
        <w:tc>
          <w:tcPr/>
          <w:p>
            <w:pPr>
              <w:pStyle w:val="Compact"/>
            </w:pPr>
            <w:r>
              <w:t xml:space="preserve">N° TVA intracommunautaire</w:t>
            </w:r>
          </w:p>
        </w:tc>
        <w:tc>
          <w:tcPr/>
          <w:p>
            <w:pPr>
              <w:pStyle w:val="Compact"/>
            </w:pPr>
            <w:r>
              <w:t xml:space="preserve">FR78992146480</w:t>
            </w:r>
          </w:p>
        </w:tc>
      </w:tr>
      <w:tr>
        <w:tc>
          <w:tcPr/>
          <w:p>
            <w:pPr>
              <w:pStyle w:val="Compact"/>
            </w:pPr>
            <w:r>
              <w:t xml:space="preserve">Immatriculation</w:t>
            </w:r>
          </w:p>
        </w:tc>
        <w:tc>
          <w:tcPr/>
          <w:p>
            <w:pPr>
              <w:pStyle w:val="Compact"/>
            </w:pPr>
            <w:r>
              <w:t xml:space="preserve">992 146 480 R.C.S. Paris — SIRET du siège : 992 146 480 00015</w:t>
            </w:r>
          </w:p>
        </w:tc>
      </w:tr>
      <w:tr>
        <w:tc>
          <w:tcPr/>
          <w:p>
            <w:pPr>
              <w:pStyle w:val="Compact"/>
            </w:pPr>
            <w:r>
              <w:t xml:space="preserve">Siège social</w:t>
            </w:r>
          </w:p>
        </w:tc>
        <w:tc>
          <w:tcPr/>
          <w:p>
            <w:pPr>
              <w:pStyle w:val="Compact"/>
            </w:pPr>
            <w:r>
              <w:t xml:space="preserve">60 rue François 1er, 75008 Paris, France</w:t>
            </w:r>
          </w:p>
        </w:tc>
      </w:tr>
      <w:tr>
        <w:tc>
          <w:tcPr/>
          <w:p>
            <w:pPr>
              <w:pStyle w:val="Compact"/>
            </w:pPr>
            <w:r>
              <w:t xml:space="preserve">Pays d'établissement</w:t>
            </w:r>
          </w:p>
        </w:tc>
        <w:tc>
          <w:tcPr/>
          <w:p>
            <w:pPr>
              <w:pStyle w:val="Compact"/>
            </w:pPr>
            <w:r>
              <w:t xml:space="preserve">France</w:t>
            </w:r>
          </w:p>
        </w:tc>
      </w:tr>
      <w:tr>
        <w:tc>
          <w:tcPr/>
          <w:p>
            <w:pPr>
              <w:pStyle w:val="Compact"/>
            </w:pPr>
            <w:r>
              <w:t xml:space="preserve">Co-fondateurs</w:t>
            </w:r>
          </w:p>
        </w:tc>
        <w:tc>
          <w:tcPr/>
          <w:p>
            <w:pPr>
              <w:pStyle w:val="Compact"/>
            </w:pPr>
            <w:r>
              <w:t xml:space="preserve">Olivier Dupont (CTO) et Philippe Heyraud</w:t>
            </w:r>
          </w:p>
        </w:tc>
      </w:tr>
      <w:tr>
        <w:tc>
          <w:tcPr/>
          <w:p>
            <w:pPr>
              <w:pStyle w:val="Compact"/>
            </w:pPr>
            <w:r>
              <w:t xml:space="preserve">Représentant légal signataire</w:t>
            </w:r>
          </w:p>
        </w:tc>
        <w:tc>
          <w:tcPr/>
          <w:p>
            <w:pPr>
              <w:pStyle w:val="Compact"/>
            </w:pPr>
            <w:r>
              <w:t xml:space="preserve">Olivier Dupont, Président</w:t>
            </w:r>
          </w:p>
        </w:tc>
      </w:tr>
      <w:tr>
        <w:tc>
          <w:tcPr/>
          <w:p>
            <w:pPr>
              <w:pStyle w:val="Compact"/>
            </w:pPr>
            <w:r>
              <w:t xml:space="preserve">Contact protection des données</w:t>
            </w:r>
          </w:p>
        </w:tc>
        <w:tc>
          <w:tcPr/>
          <w:p>
            <w:pPr>
              <w:pStyle w:val="Compact"/>
            </w:pPr>
            <w:hyperlink r:id="rId9">
              <w:r>
                <w:rPr>
                  <w:rStyle w:val="Hyperlink"/>
                </w:rPr>
                <w:t xml:space="preserve">privacy@transcribia.eu</w:t>
              </w:r>
            </w:hyperlink>
          </w:p>
        </w:tc>
      </w:tr>
    </w:tbl>
    <w:p>
      <w:pPr>
        <w:pStyle w:val="BodyText"/>
      </w:pPr>
      <w:r>
        <w:rPr>
          <w:b/>
          <w:bCs/>
        </w:rPr>
        <w:t xml:space="preserve">Rôle RGPD.</w:t>
      </w:r>
      <w:r>
        <w:t xml:space="preserve"> </w:t>
      </w:r>
      <w:r>
        <w:t xml:space="preserve">OHADJA est l'éditeur et le développeur du logiciel TranscribIA. Dès lors qu'elle traite des données à caractère personnel pour le compte du Client, elle agit en qualité de</w:t>
      </w:r>
      <w:r>
        <w:t xml:space="preserve"> </w:t>
      </w:r>
      <w:r>
        <w:rPr>
          <w:b/>
          <w:bCs/>
        </w:rPr>
        <w:t xml:space="preserve">sous-traitant</w:t>
      </w:r>
      <w:r>
        <w:t xml:space="preserve"> </w:t>
      </w:r>
      <w:r>
        <w:t xml:space="preserve">au sens de l'article 4.8 du RGPD, dans le cadre de l'Accord de sous-traitance article 28 (« DPA »).</w:t>
      </w:r>
    </w:p>
    <w:p>
      <w:pPr>
        <w:pStyle w:val="BodyText"/>
      </w:pPr>
      <w:r>
        <w:rPr>
          <w:b/>
          <w:bCs/>
        </w:rPr>
        <w:t xml:space="preserve">Opérations réalisées.</w:t>
      </w:r>
    </w:p>
    <w:p>
      <w:pPr>
        <w:pStyle w:val="Compact"/>
        <w:numPr>
          <w:ilvl w:val="0"/>
          <w:numId w:val="1011"/>
        </w:numPr>
      </w:pPr>
      <w:r>
        <w:t xml:space="preserve">Développement et maintenance corrective et évolutive du logiciel.</w:t>
      </w:r>
    </w:p>
    <w:p>
      <w:pPr>
        <w:pStyle w:val="Compact"/>
        <w:numPr>
          <w:ilvl w:val="0"/>
          <w:numId w:val="1011"/>
        </w:numPr>
      </w:pPr>
      <w:r>
        <w:t xml:space="preserve">En</w:t>
      </w:r>
      <w:r>
        <w:t xml:space="preserve"> </w:t>
      </w:r>
      <w:r>
        <w:rPr>
          <w:b/>
          <w:bCs/>
        </w:rPr>
        <w:t xml:space="preserve">Option A</w:t>
      </w:r>
      <w:r>
        <w:t xml:space="preserve"> </w:t>
      </w:r>
      <w:r>
        <w:t xml:space="preserve">: hébergement, exploitation applicative, supervision, sauvegardes techniques, mises à jour et sécurité opérationnelle du service.</w:t>
      </w:r>
    </w:p>
    <w:p>
      <w:pPr>
        <w:pStyle w:val="Compact"/>
        <w:numPr>
          <w:ilvl w:val="0"/>
          <w:numId w:val="1011"/>
        </w:numPr>
      </w:pPr>
      <w:r>
        <w:t xml:space="preserve">En</w:t>
      </w:r>
      <w:r>
        <w:t xml:space="preserve"> </w:t>
      </w:r>
      <w:r>
        <w:rPr>
          <w:b/>
          <w:bCs/>
        </w:rPr>
        <w:t xml:space="preserve">Option B</w:t>
      </w:r>
      <w:r>
        <w:t xml:space="preserve"> </w:t>
      </w:r>
      <w:r>
        <w:t xml:space="preserve">: uniquement les opérations effectivement confiées par le Client (support, maintenance, mise à jour applicative, accès distant autorisé, assistance technique).</w:t>
      </w:r>
    </w:p>
    <w:p>
      <w:pPr>
        <w:pStyle w:val="Compact"/>
        <w:numPr>
          <w:ilvl w:val="0"/>
          <w:numId w:val="1011"/>
        </w:numPr>
      </w:pPr>
      <w:r>
        <w:t xml:space="preserve">Support de premier et second niveau, sur demande du Client.</w:t>
      </w:r>
    </w:p>
    <w:p>
      <w:pPr>
        <w:pStyle w:val="FirstParagraph"/>
      </w:pPr>
      <w:r>
        <w:rPr>
          <w:b/>
          <w:bCs/>
        </w:rPr>
        <w:t xml:space="preserve">Accès aux données à caractère personnel : OUI, encadré.</w:t>
      </w:r>
      <w:r>
        <w:t xml:space="preserve"> </w:t>
      </w:r>
      <w:r>
        <w:t xml:space="preserve">Le personnel habilité d'OHADJA peut accéder aux données de production dans la stricte limite du besoin d'en connaître (exploitation, support, sécurité). Cet accès est nominatif, réalisé par clé SSH, protégé par authentification à deux facteurs (2FA TOTP), chiffré en transit (TLS), journalisé, et sans copie locale des données de production. Conformément à l'engagement contractuel décrit au document OHA-RGPD-04,</w:t>
      </w:r>
      <w:r>
        <w:t xml:space="preserve"> </w:t>
      </w:r>
      <w:r>
        <w:rPr>
          <w:b/>
          <w:bCs/>
        </w:rPr>
        <w:t xml:space="preserve">l'administration et le support sont réalisés exclusivement depuis la France / l'Union européenne</w:t>
      </w:r>
      <w:r>
        <w:t xml:space="preserve">.</w:t>
      </w:r>
    </w:p>
    <w:bookmarkEnd w:id="48"/>
    <w:bookmarkStart w:id="50" w:name="Xea56b233c56268ea1ab7c4ed5a13c76141f74a6"/>
    <w:p>
      <w:pPr>
        <w:pStyle w:val="Heading3"/>
      </w:pPr>
      <w:r>
        <w:t xml:space="preserve">2.2 AMBASSADIA SARL — revendeur / distributeur commercial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Dénomination</w:t>
            </w:r>
          </w:p>
        </w:tc>
        <w:tc>
          <w:tcPr/>
          <w:p>
            <w:pPr>
              <w:pStyle w:val="Compact"/>
            </w:pPr>
            <w:r>
              <w:t xml:space="preserve">AMBASSADIA SARL</w:t>
            </w:r>
          </w:p>
        </w:tc>
      </w:tr>
      <w:tr>
        <w:tc>
          <w:tcPr/>
          <w:p>
            <w:pPr>
              <w:pStyle w:val="Compact"/>
            </w:pPr>
            <w:r>
              <w:t xml:space="preserve">Forme juridique</w:t>
            </w:r>
          </w:p>
        </w:tc>
        <w:tc>
          <w:tcPr/>
          <w:p>
            <w:pPr>
              <w:pStyle w:val="Compact"/>
            </w:pPr>
            <w:r>
              <w:t xml:space="preserve">Société à responsabilité limitée au capital de 50 000 €</w:t>
            </w:r>
          </w:p>
        </w:tc>
      </w:tr>
      <w:tr>
        <w:tc>
          <w:tcPr/>
          <w:p>
            <w:pPr>
              <w:pStyle w:val="Compact"/>
            </w:pPr>
            <w:r>
              <w:t xml:space="preserve">Gérant</w:t>
            </w:r>
          </w:p>
        </w:tc>
        <w:tc>
          <w:tcPr/>
          <w:p>
            <w:pPr>
              <w:pStyle w:val="Compact"/>
            </w:pPr>
            <w:r>
              <w:t xml:space="preserve">Olivier Dupont</w:t>
            </w:r>
          </w:p>
        </w:tc>
      </w:tr>
      <w:tr>
        <w:tc>
          <w:tcPr/>
          <w:p>
            <w:pPr>
              <w:pStyle w:val="Compact"/>
            </w:pPr>
            <w:r>
              <w:t xml:space="preserve">Rôle</w:t>
            </w:r>
          </w:p>
        </w:tc>
        <w:tc>
          <w:tcPr/>
          <w:p>
            <w:pPr>
              <w:pStyle w:val="Compact"/>
            </w:pPr>
            <w:r>
              <w:t xml:space="preserve">Revendeur / distributeur commercial (Monaco et France)</w:t>
            </w:r>
          </w:p>
        </w:tc>
      </w:tr>
      <w:tr>
        <w:tc>
          <w:tcPr/>
          <w:p>
            <w:pPr>
              <w:pStyle w:val="Compact"/>
            </w:pPr>
            <w:r>
              <w:t xml:space="preserve">Contact commercial</w:t>
            </w:r>
          </w:p>
        </w:tc>
        <w:tc>
          <w:tcPr/>
          <w:p>
            <w:pPr>
              <w:pStyle w:val="Compact"/>
            </w:pPr>
            <w:hyperlink r:id="rId49">
              <w:r>
                <w:rPr>
                  <w:rStyle w:val="Hyperlink"/>
                </w:rPr>
                <w:t xml:space="preserve">olivier@ambassadia.com</w:t>
              </w:r>
            </w:hyperlink>
          </w:p>
        </w:tc>
      </w:tr>
    </w:tbl>
    <w:p>
      <w:pPr>
        <w:pStyle w:val="BodyText"/>
      </w:pPr>
      <w:r>
        <w:rPr>
          <w:b/>
          <w:bCs/>
        </w:rPr>
        <w:t xml:space="preserve">Rôle RGPD.</w:t>
      </w:r>
      <w:r>
        <w:t xml:space="preserve"> </w:t>
      </w:r>
      <w:r>
        <w:t xml:space="preserve">AMBASSADIA SARL assure un</w:t>
      </w:r>
      <w:r>
        <w:t xml:space="preserve"> </w:t>
      </w:r>
      <w:r>
        <w:rPr>
          <w:b/>
          <w:bCs/>
        </w:rPr>
        <w:t xml:space="preserve">rôle commercial</w:t>
      </w:r>
      <w:r>
        <w:t xml:space="preserve"> </w:t>
      </w:r>
      <w:r>
        <w:t xml:space="preserve">de revendeur/distributeur de la solution (Monaco et France). Elle</w:t>
      </w:r>
      <w:r>
        <w:t xml:space="preserve"> </w:t>
      </w:r>
      <w:r>
        <w:rPr>
          <w:b/>
          <w:bCs/>
        </w:rPr>
        <w:t xml:space="preserve">ne traite pas de données de production pour le compte des clients</w:t>
      </w:r>
      <w:r>
        <w:t xml:space="preserve"> </w:t>
      </w:r>
      <w:r>
        <w:t xml:space="preserve">et n'agit donc, dans le cadre nominal,</w:t>
      </w:r>
      <w:r>
        <w:t xml:space="preserve"> </w:t>
      </w:r>
      <w:r>
        <w:rPr>
          <w:b/>
          <w:bCs/>
        </w:rPr>
        <w:t xml:space="preserve">ni comme sous-traitant ni comme sous-traitant ultérieur</w:t>
      </w:r>
      <w:r>
        <w:t xml:space="preserve"> </w:t>
      </w:r>
      <w:r>
        <w:t xml:space="preserve">au titre des données du Client [périmètre exact À CONFIRMER]. Le domaine de production</w:t>
      </w:r>
      <w:r>
        <w:t xml:space="preserve"> </w:t>
      </w:r>
      <w:r>
        <w:rPr>
          <w:rStyle w:val="VerbatimChar"/>
        </w:rPr>
        <w:t xml:space="preserve">client.transcribia.eu</w:t>
      </w:r>
      <w:r>
        <w:t xml:space="preserve"> </w:t>
      </w:r>
      <w:r>
        <w:t xml:space="preserve">et l'adresse</w:t>
      </w:r>
      <w:r>
        <w:t xml:space="preserve"> </w:t>
      </w:r>
      <w:r>
        <w:rPr>
          <w:rStyle w:val="VerbatimChar"/>
        </w:rPr>
        <w:t xml:space="preserve">olivier@ambassadia.com</w:t>
      </w:r>
      <w:r>
        <w:t xml:space="preserve"> </w:t>
      </w:r>
      <w:r>
        <w:t xml:space="preserve">demeurent des éléments opérationnels valides.</w:t>
      </w:r>
    </w:p>
    <w:p>
      <w:pPr>
        <w:pStyle w:val="BodyText"/>
      </w:pPr>
      <w:r>
        <w:rPr>
          <w:b/>
          <w:bCs/>
        </w:rPr>
        <w:t xml:space="preserve">Opérations réalisées.</w:t>
      </w:r>
    </w:p>
    <w:p>
      <w:pPr>
        <w:pStyle w:val="Compact"/>
        <w:numPr>
          <w:ilvl w:val="0"/>
          <w:numId w:val="1012"/>
        </w:numPr>
      </w:pPr>
      <w:r>
        <w:t xml:space="preserve">Commercialisation et relation commerciale (Monaco et France).</w:t>
      </w:r>
    </w:p>
    <w:p>
      <w:pPr>
        <w:pStyle w:val="Compact"/>
        <w:numPr>
          <w:ilvl w:val="0"/>
          <w:numId w:val="1012"/>
        </w:numPr>
      </w:pPr>
      <w:r>
        <w:t xml:space="preserve">Orientation vers OHADJA pour l'édition, l'exploitation et le support technique de la plateforme.</w:t>
      </w:r>
    </w:p>
    <w:p>
      <w:pPr>
        <w:pStyle w:val="FirstParagraph"/>
      </w:pPr>
      <w:r>
        <w:rPr>
          <w:b/>
          <w:bCs/>
        </w:rPr>
        <w:t xml:space="preserve">Accès aux données à caractère personnel : NON.</w:t>
      </w:r>
      <w:r>
        <w:t xml:space="preserve"> </w:t>
      </w:r>
      <w:r>
        <w:t xml:space="preserve">AMBASSADIA SARL n'accède pas aux données de production du Client (audio, transcriptions, générations IA, comptes). Le lien du groupe avec Monaco existe via cette activité commerciale de revendeur, mais celle-ci</w:t>
      </w:r>
      <w:r>
        <w:t xml:space="preserve"> </w:t>
      </w:r>
      <w:r>
        <w:rPr>
          <w:b/>
          <w:bCs/>
        </w:rPr>
        <w:t xml:space="preserve">n'emporte aucun accès aux données</w:t>
      </w:r>
      <w:r>
        <w:t xml:space="preserve"> </w:t>
      </w:r>
      <w:r>
        <w:t xml:space="preserve">: l'administration et le support techniques relèvent d'OHADJA et sont réalisés exclusivement depuis la France / l'UE (voir OHA-RGPD-04).</w:t>
      </w:r>
    </w:p>
    <w:bookmarkEnd w:id="50"/>
    <w:bookmarkStart w:id="51" w:name="Xbc0907ca7f8d8ad2f042b1a5e018f1b60c3ac13"/>
    <w:p>
      <w:pPr>
        <w:pStyle w:val="Heading3"/>
      </w:pPr>
      <w:r>
        <w:t xml:space="preserve">2.3 votre intégrateur / revendeur — distributeur et intégrateur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Dénomination</w:t>
            </w:r>
          </w:p>
        </w:tc>
        <w:tc>
          <w:tcPr/>
          <w:p>
            <w:pPr>
              <w:pStyle w:val="Compact"/>
            </w:pPr>
            <w:r>
              <w:t xml:space="preserve">votre intégrateur / revendeur</w:t>
            </w:r>
          </w:p>
        </w:tc>
      </w:tr>
      <w:tr>
        <w:tc>
          <w:tcPr/>
          <w:p>
            <w:pPr>
              <w:pStyle w:val="Compact"/>
            </w:pPr>
            <w:r>
              <w:t xml:space="preserve">Rôle commercial</w:t>
            </w:r>
          </w:p>
        </w:tc>
        <w:tc>
          <w:tcPr/>
          <w:p>
            <w:pPr>
              <w:pStyle w:val="Compact"/>
            </w:pPr>
            <w:r>
              <w:t xml:space="preserve">Distributeur et intégrateur de la solution TranscribIA</w:t>
            </w:r>
          </w:p>
        </w:tc>
      </w:tr>
      <w:tr>
        <w:tc>
          <w:tcPr/>
          <w:p>
            <w:pPr>
              <w:pStyle w:val="Compact"/>
            </w:pPr>
            <w:r>
              <w:t xml:space="preserve">Pays d'établissement</w:t>
            </w:r>
          </w:p>
        </w:tc>
        <w:tc>
          <w:tcPr/>
          <w:p>
            <w:pPr>
              <w:pStyle w:val="Compact"/>
            </w:pPr>
            <w:r>
              <w:t xml:space="preserve">France</w:t>
            </w:r>
          </w:p>
        </w:tc>
      </w:tr>
    </w:tbl>
    <w:p>
      <w:pPr>
        <w:pStyle w:val="BodyText"/>
      </w:pPr>
      <w:r>
        <w:rPr>
          <w:b/>
          <w:bCs/>
        </w:rPr>
        <w:t xml:space="preserve">Rôle RGPD.</w:t>
      </w:r>
      <w:r>
        <w:t xml:space="preserve"> </w:t>
      </w:r>
      <w:r>
        <w:t xml:space="preserve">votre intégrateur / revendeur assure la commercialisation de la solution, son intégration aux systèmes de conférence (matériel), et la relation client de premier niveau. Dans le cadre nominal, l'intégrateur / revendeur</w:t>
      </w:r>
      <w:r>
        <w:t xml:space="preserve"> </w:t>
      </w:r>
      <w:r>
        <w:rPr>
          <w:b/>
          <w:bCs/>
        </w:rPr>
        <w:t xml:space="preserve">n'agit ni comme sous-traitant ni comme sous-traitant ultérieur au titre des données de production</w:t>
      </w:r>
      <w:r>
        <w:t xml:space="preserve"> </w:t>
      </w:r>
      <w:r>
        <w:t xml:space="preserve">du Client.</w:t>
      </w:r>
    </w:p>
    <w:p>
      <w:pPr>
        <w:pStyle w:val="BodyText"/>
      </w:pPr>
      <w:r>
        <w:rPr>
          <w:b/>
          <w:bCs/>
        </w:rPr>
        <w:t xml:space="preserve">Opérations réalisées.</w:t>
      </w:r>
    </w:p>
    <w:p>
      <w:pPr>
        <w:pStyle w:val="Compact"/>
        <w:numPr>
          <w:ilvl w:val="0"/>
          <w:numId w:val="1013"/>
        </w:numPr>
      </w:pPr>
      <w:r>
        <w:t xml:space="preserve">Commercialisation et relation commerciale.</w:t>
      </w:r>
    </w:p>
    <w:p>
      <w:pPr>
        <w:pStyle w:val="Compact"/>
        <w:numPr>
          <w:ilvl w:val="0"/>
          <w:numId w:val="1013"/>
        </w:numPr>
      </w:pPr>
      <w:r>
        <w:t xml:space="preserve">Intégration matérielle aux systèmes de conférence.</w:t>
      </w:r>
    </w:p>
    <w:p>
      <w:pPr>
        <w:pStyle w:val="Compact"/>
        <w:numPr>
          <w:ilvl w:val="0"/>
          <w:numId w:val="1013"/>
        </w:numPr>
      </w:pPr>
      <w:r>
        <w:t xml:space="preserve">Accompagnement de premier niveau, orientation vers OHADJA pour le support technique de la plateforme.</w:t>
      </w:r>
    </w:p>
    <w:p>
      <w:pPr>
        <w:pStyle w:val="FirstParagraph"/>
      </w:pPr>
      <w:r>
        <w:rPr>
          <w:b/>
          <w:bCs/>
        </w:rPr>
        <w:t xml:space="preserve">Accès aux données à caractère personnel : NON (par principe).</w:t>
      </w:r>
    </w:p>
    <w:p>
      <w:pPr>
        <w:pStyle w:val="Compact"/>
        <w:numPr>
          <w:ilvl w:val="0"/>
          <w:numId w:val="1014"/>
        </w:numPr>
      </w:pPr>
      <w:r>
        <w:t xml:space="preserve">l'intégrateur / revendeur</w:t>
      </w:r>
      <w:r>
        <w:t xml:space="preserve"> </w:t>
      </w:r>
      <w:r>
        <w:rPr>
          <w:b/>
          <w:bCs/>
        </w:rPr>
        <w:t xml:space="preserve">n'accède pas</w:t>
      </w:r>
      <w:r>
        <w:t xml:space="preserve"> </w:t>
      </w:r>
      <w:r>
        <w:t xml:space="preserve">aux données de production du Client (audio, transcriptions, générations IA, comptes).</w:t>
      </w:r>
    </w:p>
    <w:p>
      <w:pPr>
        <w:pStyle w:val="Compact"/>
        <w:numPr>
          <w:ilvl w:val="0"/>
          <w:numId w:val="1014"/>
        </w:numPr>
      </w:pPr>
      <w:r>
        <w:t xml:space="preserve">Exception maîtrisée par le Client : si le Client crée</w:t>
      </w:r>
      <w:r>
        <w:t xml:space="preserve"> </w:t>
      </w:r>
      <w:r>
        <w:rPr>
          <w:b/>
          <w:bCs/>
        </w:rPr>
        <w:t xml:space="preserve">explicitement</w:t>
      </w:r>
      <w:r>
        <w:t xml:space="preserve"> </w:t>
      </w:r>
      <w:r>
        <w:t xml:space="preserve">un compte de service au bénéfice de l'intégrateur / revendeur dans son organisation, l'accès correspondant relève alors des habilitations décidées et tracées par le Client lui-même.</w:t>
      </w:r>
    </w:p>
    <w:p>
      <w:pPr>
        <w:pStyle w:val="Compact"/>
        <w:numPr>
          <w:ilvl w:val="0"/>
          <w:numId w:val="1014"/>
        </w:numPr>
      </w:pPr>
      <w:r>
        <w:rPr>
          <w:b/>
          <w:bCs/>
        </w:rPr>
        <w:t xml:space="preserve">Cas du compte de démonstration :</w:t>
      </w:r>
      <w:r>
        <w:t xml:space="preserve"> </w:t>
      </w:r>
      <w:r>
        <w:t xml:space="preserve">un rôle d'administration de l'intégrateur / revendeur (</w:t>
      </w:r>
      <w:r>
        <w:rPr>
          <w:rStyle w:val="VerbatimChar"/>
        </w:rPr>
        <w:t xml:space="preserve">super_agent</w:t>
      </w:r>
      <w:r>
        <w:t xml:space="preserve">) existe uniquement sur l'environnement de</w:t>
      </w:r>
      <w:r>
        <w:t xml:space="preserve"> </w:t>
      </w:r>
      <w:r>
        <w:rPr>
          <w:b/>
          <w:bCs/>
        </w:rPr>
        <w:t xml:space="preserve">démonstration</w:t>
      </w:r>
      <w:r>
        <w:t xml:space="preserve">, jamais sur la production. Ce rôle permet de créer des structures et des comptes à des fins de démonstration commerciale ; il</w:t>
      </w:r>
      <w:r>
        <w:t xml:space="preserve"> </w:t>
      </w:r>
      <w:r>
        <w:rPr>
          <w:b/>
          <w:bCs/>
        </w:rPr>
        <w:t xml:space="preserve">ne donne aucun accès au contenu</w:t>
      </w:r>
      <w:r>
        <w:t xml:space="preserve"> </w:t>
      </w:r>
      <w:r>
        <w:t xml:space="preserve">des organisations (ni audio, ni transcriptions).</w:t>
      </w:r>
    </w:p>
    <w:bookmarkEnd w:id="51"/>
    <w:bookmarkStart w:id="52" w:name="Xa91448aaf16ce566fab1d93587d96bb314a63a9"/>
    <w:p>
      <w:pPr>
        <w:pStyle w:val="Heading3"/>
      </w:pPr>
      <w:r>
        <w:t xml:space="preserve">2.4 Le Client (organisation cliente) — responsable de traitement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Dénomination</w:t>
            </w:r>
          </w:p>
        </w:tc>
        <w:tc>
          <w:tcPr/>
          <w:p>
            <w:pPr>
              <w:pStyle w:val="Compact"/>
            </w:pPr>
            <w:r>
              <w:t xml:space="preserve">Organisation cliente</w:t>
            </w:r>
          </w:p>
        </w:tc>
      </w:tr>
      <w:tr>
        <w:tc>
          <w:tcPr/>
          <w:p>
            <w:pPr>
              <w:pStyle w:val="Compact"/>
            </w:pPr>
            <w:r>
              <w:t xml:space="preserve">Rôle RGPD</w:t>
            </w:r>
          </w:p>
        </w:tc>
        <w:tc>
          <w:tcPr/>
          <w:p>
            <w:pPr>
              <w:pStyle w:val="Compact"/>
            </w:pPr>
            <w:r>
              <w:t xml:space="preserve">Responsable de traitement (article 4.7 RGPD)</w:t>
            </w:r>
          </w:p>
        </w:tc>
      </w:tr>
      <w:tr>
        <w:tc>
          <w:tcPr/>
          <w:p>
            <w:pPr>
              <w:pStyle w:val="Compact"/>
            </w:pPr>
            <w:r>
              <w:t xml:space="preserve">Coordonnées</w:t>
            </w:r>
          </w:p>
        </w:tc>
        <w:tc>
          <w:tcPr/>
          <w:p>
            <w:pPr>
              <w:pStyle w:val="Compact"/>
            </w:pPr>
            <w:r>
              <w:t xml:space="preserve">[À COMPLÉTER par le client : représentant légal, contact DPO]</w:t>
            </w:r>
          </w:p>
        </w:tc>
      </w:tr>
    </w:tbl>
    <w:p>
      <w:pPr>
        <w:pStyle w:val="BodyText"/>
      </w:pPr>
      <w:r>
        <w:rPr>
          <w:b/>
          <w:bCs/>
        </w:rPr>
        <w:t xml:space="preserve">Rôle RGPD.</w:t>
      </w:r>
      <w:r>
        <w:t xml:space="preserve"> </w:t>
      </w:r>
      <w:r>
        <w:t xml:space="preserve">Le Client détermine les finalités et les moyens essentiels des traitements réalisés au moyen de TranscribIA. À ce titre, il lui revient de :</w:t>
      </w:r>
    </w:p>
    <w:p>
      <w:pPr>
        <w:pStyle w:val="Compact"/>
        <w:numPr>
          <w:ilvl w:val="0"/>
          <w:numId w:val="1015"/>
        </w:numPr>
      </w:pPr>
      <w:r>
        <w:t xml:space="preserve">définir la base légale de chaque traitement (article 6, et le cas échéant article 9) ;</w:t>
      </w:r>
    </w:p>
    <w:p>
      <w:pPr>
        <w:pStyle w:val="Compact"/>
        <w:numPr>
          <w:ilvl w:val="0"/>
          <w:numId w:val="1015"/>
        </w:numPr>
      </w:pPr>
      <w:r>
        <w:t xml:space="preserve">informer les personnes concernées (articles 12 à 14) ;</w:t>
      </w:r>
    </w:p>
    <w:p>
      <w:pPr>
        <w:pStyle w:val="Compact"/>
        <w:numPr>
          <w:ilvl w:val="0"/>
          <w:numId w:val="1015"/>
        </w:numPr>
      </w:pPr>
      <w:r>
        <w:t xml:space="preserve">fixer les durées de conservation applicables à ses contenus (paramétrables par organisation) ;</w:t>
      </w:r>
    </w:p>
    <w:p>
      <w:pPr>
        <w:pStyle w:val="Compact"/>
        <w:numPr>
          <w:ilvl w:val="0"/>
          <w:numId w:val="1015"/>
        </w:numPr>
      </w:pPr>
      <w:r>
        <w:t xml:space="preserve">gérer les demandes d'exercice des droits des personnes ;</w:t>
      </w:r>
    </w:p>
    <w:p>
      <w:pPr>
        <w:pStyle w:val="Compact"/>
        <w:numPr>
          <w:ilvl w:val="0"/>
          <w:numId w:val="1015"/>
        </w:numPr>
      </w:pPr>
      <w:r>
        <w:t xml:space="preserve">tenir le registre des activités de traitement (article 30.1) ;</w:t>
      </w:r>
    </w:p>
    <w:p>
      <w:pPr>
        <w:pStyle w:val="Compact"/>
        <w:numPr>
          <w:ilvl w:val="0"/>
          <w:numId w:val="1015"/>
        </w:numPr>
      </w:pPr>
      <w:r>
        <w:t xml:space="preserve">réaliser, lorsque requis, l'analyse d'impact relative à la protection des données (article 35).</w:t>
      </w:r>
    </w:p>
    <w:p>
      <w:pPr>
        <w:pStyle w:val="FirstParagraph"/>
      </w:pPr>
      <w:r>
        <w:rPr>
          <w:b/>
          <w:bCs/>
        </w:rPr>
        <w:t xml:space="preserve">Accès aux données : OUI</w:t>
      </w:r>
      <w:r>
        <w:t xml:space="preserve">, en qualité de responsable de traitement, via les comptes et rôles qu'il crée et administre au sein de son organisation.</w:t>
      </w:r>
    </w:p>
    <w:bookmarkEnd w:id="52"/>
    <w:bookmarkStart w:id="53" w:name="X013e398b6217181d0b11a7c01590f89a86b1984"/>
    <w:p>
      <w:pPr>
        <w:pStyle w:val="Heading3"/>
      </w:pPr>
      <w:r>
        <w:t xml:space="preserve">2.5 Sous-traitants ultérieurs techniques (renvoi)</w:t>
      </w:r>
    </w:p>
    <w:p>
      <w:pPr>
        <w:pStyle w:val="FirstParagraph"/>
      </w:pPr>
      <w:r>
        <w:t xml:space="preserve">En</w:t>
      </w:r>
      <w:r>
        <w:t xml:space="preserve"> </w:t>
      </w:r>
      <w:r>
        <w:rPr>
          <w:b/>
          <w:bCs/>
        </w:rPr>
        <w:t xml:space="preserve">Option A (SaaS)</w:t>
      </w:r>
      <w:r>
        <w:t xml:space="preserve">, OHADJA recourt à des sous-traitants ultérieurs pour l'hébergement, la sauvegarde, la transcription GPU et les fonctions d'intelligence artificielle. Chacun est identifié — pays d'établissement, rôle, lieux de traitement et de stockage, accès humain, garanties — au document</w:t>
      </w:r>
      <w:r>
        <w:t xml:space="preserve"> </w:t>
      </w:r>
      <w:r>
        <w:rPr>
          <w:b/>
          <w:bCs/>
        </w:rPr>
        <w:t xml:space="preserve">OHA-RGPD-03</w:t>
      </w:r>
      <w:r>
        <w:t xml:space="preserve">. Les transferts et accès hors EEE éventuels sont traités au document</w:t>
      </w:r>
      <w:r>
        <w:t xml:space="preserve"> </w:t>
      </w:r>
      <w:r>
        <w:rPr>
          <w:b/>
          <w:bCs/>
        </w:rPr>
        <w:t xml:space="preserve">OHA-RGPD-04</w:t>
      </w:r>
      <w:r>
        <w:t xml:space="preserve">.</w:t>
      </w:r>
    </w:p>
    <w:p>
      <w:pPr>
        <w:pStyle w:val="BodyText"/>
      </w:pPr>
      <w:r>
        <w:t xml:space="preserve">En</w:t>
      </w:r>
      <w:r>
        <w:t xml:space="preserve"> </w:t>
      </w:r>
      <w:r>
        <w:rPr>
          <w:b/>
          <w:bCs/>
        </w:rPr>
        <w:t xml:space="preserve">Option B isolée</w:t>
      </w:r>
      <w:r>
        <w:t xml:space="preserve">, il n'existe</w:t>
      </w:r>
      <w:r>
        <w:t xml:space="preserve"> </w:t>
      </w:r>
      <w:r>
        <w:rPr>
          <w:b/>
          <w:bCs/>
        </w:rPr>
        <w:t xml:space="preserve">aucun</w:t>
      </w:r>
      <w:r>
        <w:t xml:space="preserve"> </w:t>
      </w:r>
      <w:r>
        <w:t xml:space="preserve">sous-traitant ultérieur : tous les traitements s'exécutent dans l'infrastructure du Client.</w:t>
      </w:r>
    </w:p>
    <w:bookmarkEnd w:id="53"/>
    <w:bookmarkEnd w:id="54"/>
    <w:bookmarkStart w:id="55" w:name="Xa3b753c59da78167f5a5b09b154b0079cdc206c"/>
    <w:p>
      <w:pPr>
        <w:pStyle w:val="Heading2"/>
      </w:pPr>
      <w:r>
        <w:t xml:space="preserve">3. Tableau récapitulatif des rôles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Acteur</w:t>
            </w:r>
          </w:p>
        </w:tc>
        <w:tc>
          <w:tcPr/>
          <w:p>
            <w:pPr>
              <w:pStyle w:val="Compact"/>
            </w:pPr>
            <w:r>
              <w:t xml:space="preserve">Rôle RGPD</w:t>
            </w:r>
          </w:p>
        </w:tc>
        <w:tc>
          <w:tcPr/>
          <w:p>
            <w:pPr>
              <w:pStyle w:val="Compact"/>
            </w:pPr>
            <w:r>
              <w:t xml:space="preserve">Opérations réalisées</w:t>
            </w:r>
          </w:p>
        </w:tc>
        <w:tc>
          <w:tcPr/>
          <w:p>
            <w:pPr>
              <w:pStyle w:val="Compact"/>
            </w:pPr>
            <w:r>
              <w:t xml:space="preserve">Accès aux données de production</w:t>
            </w:r>
          </w:p>
        </w:tc>
      </w:tr>
      <w:tr>
        <w:tc>
          <w:tcPr/>
          <w:p>
            <w:pPr>
              <w:pStyle w:val="Compact"/>
            </w:pPr>
            <w:r>
              <w:rPr>
                <w:b/>
                <w:bCs/>
              </w:rPr>
              <w:t xml:space="preserve">le Client</w:t>
            </w:r>
          </w:p>
        </w:tc>
        <w:tc>
          <w:tcPr/>
          <w:p>
            <w:pPr>
              <w:pStyle w:val="Compact"/>
            </w:pPr>
            <w:r>
              <w:t xml:space="preserve">Responsable de traitement (art. 4.7)</w:t>
            </w:r>
          </w:p>
        </w:tc>
        <w:tc>
          <w:tcPr/>
          <w:p>
            <w:pPr>
              <w:pStyle w:val="Compact"/>
            </w:pPr>
            <w:r>
              <w:t xml:space="preserve">Détermine finalités, bases légales, durées ; informe les personnes ; gère les droits</w:t>
            </w:r>
          </w:p>
        </w:tc>
        <w:tc>
          <w:tcPr/>
          <w:p>
            <w:pPr>
              <w:pStyle w:val="Compact"/>
            </w:pPr>
            <w:r>
              <w:t xml:space="preserve">Oui (via ses comptes et rôles)</w:t>
            </w:r>
          </w:p>
        </w:tc>
      </w:tr>
      <w:tr>
        <w:tc>
          <w:tcPr/>
          <w:p>
            <w:pPr>
              <w:pStyle w:val="Compact"/>
            </w:pPr>
            <w:r>
              <w:rPr>
                <w:b/>
                <w:bCs/>
              </w:rPr>
              <w:t xml:space="preserve">OHADJA</w:t>
            </w:r>
          </w:p>
        </w:tc>
        <w:tc>
          <w:tcPr/>
          <w:p>
            <w:pPr>
              <w:pStyle w:val="Compact"/>
            </w:pPr>
            <w:r>
              <w:t xml:space="preserve">Sous-traitant (art. 4.8 / art. 28) — éditeur</w:t>
            </w:r>
          </w:p>
        </w:tc>
        <w:tc>
          <w:tcPr/>
          <w:p>
            <w:pPr>
              <w:pStyle w:val="Compact"/>
            </w:pPr>
            <w:r>
              <w:t xml:space="preserve">Édition, exploitation SaaS (Option A), support, maintenance</w:t>
            </w:r>
          </w:p>
        </w:tc>
        <w:tc>
          <w:tcPr/>
          <w:p>
            <w:pPr>
              <w:pStyle w:val="Compact"/>
            </w:pPr>
            <w:r>
              <w:t xml:space="preserve">Oui — encadré (nominatif, SSH, 2FA, TLS, journalisé, pas de copie locale, depuis la France/UE)</w:t>
            </w:r>
          </w:p>
        </w:tc>
      </w:tr>
      <w:tr>
        <w:tc>
          <w:tcPr/>
          <w:p>
            <w:pPr>
              <w:pStyle w:val="Compact"/>
            </w:pPr>
            <w:r>
              <w:rPr>
                <w:b/>
                <w:bCs/>
              </w:rPr>
              <w:t xml:space="preserve">AMBASSADIA SARL</w:t>
            </w:r>
          </w:p>
        </w:tc>
        <w:tc>
          <w:tcPr/>
          <w:p>
            <w:pPr>
              <w:pStyle w:val="Compact"/>
            </w:pPr>
            <w:r>
              <w:t xml:space="preserve">Revendeur / distributeur commercial (Monaco et France) — pas de traitement de données</w:t>
            </w:r>
          </w:p>
        </w:tc>
        <w:tc>
          <w:tcPr/>
          <w:p>
            <w:pPr>
              <w:pStyle w:val="Compact"/>
            </w:pPr>
            <w:r>
              <w:t xml:space="preserve">Commercialisation, relation commerciale</w:t>
            </w:r>
          </w:p>
        </w:tc>
        <w:tc>
          <w:tcPr/>
          <w:p>
            <w:pPr>
              <w:pStyle w:val="Compact"/>
            </w:pPr>
            <w:r>
              <w:t xml:space="preserve">Non</w:t>
            </w:r>
          </w:p>
        </w:tc>
      </w:tr>
      <w:tr>
        <w:tc>
          <w:tcPr/>
          <w:p>
            <w:pPr>
              <w:pStyle w:val="Compact"/>
            </w:pPr>
            <w:r>
              <w:rPr>
                <w:b/>
                <w:bCs/>
              </w:rPr>
              <w:t xml:space="preserve">votre intégrateur / revendeur</w:t>
            </w:r>
          </w:p>
        </w:tc>
        <w:tc>
          <w:tcPr/>
          <w:p>
            <w:pPr>
              <w:pStyle w:val="Compact"/>
            </w:pPr>
            <w:r>
              <w:t xml:space="preserve">Distributeur / intégrateur — pas de traitement de données de production</w:t>
            </w:r>
          </w:p>
        </w:tc>
        <w:tc>
          <w:tcPr/>
          <w:p>
            <w:pPr>
              <w:pStyle w:val="Compact"/>
            </w:pPr>
            <w:r>
              <w:t xml:space="preserve">Commercialisation, intégration matérielle, relation de 1er niveau</w:t>
            </w:r>
          </w:p>
        </w:tc>
        <w:tc>
          <w:tcPr/>
          <w:p>
            <w:pPr>
              <w:pStyle w:val="Compact"/>
            </w:pPr>
            <w:r>
              <w:t xml:space="preserve">Non — sauf compte de service créé par le client ; rôle d'admin sur la démo uniquement, sans accès au contenu</w:t>
            </w:r>
          </w:p>
        </w:tc>
      </w:tr>
      <w:tr>
        <w:tc>
          <w:tcPr/>
          <w:p>
            <w:pPr>
              <w:pStyle w:val="Compact"/>
            </w:pPr>
            <w:r>
              <w:rPr>
                <w:b/>
                <w:bCs/>
              </w:rPr>
              <w:t xml:space="preserve">Sous-traitants ultérieurs techniques</w:t>
            </w:r>
          </w:p>
        </w:tc>
        <w:tc>
          <w:tcPr/>
          <w:p>
            <w:pPr>
              <w:pStyle w:val="Compact"/>
            </w:pPr>
            <w:r>
              <w:t xml:space="preserve">Sous-traitants ultérieurs (art. 28.2/28.4) — Option A uniquement</w:t>
            </w:r>
          </w:p>
        </w:tc>
        <w:tc>
          <w:tcPr/>
          <w:p>
            <w:pPr>
              <w:pStyle w:val="Compact"/>
            </w:pPr>
            <w:r>
              <w:t xml:space="preserve">Hébergement, sauvegarde, transcription GPU, IA (voir OHA-RGPD-03)</w:t>
            </w:r>
          </w:p>
        </w:tc>
        <w:tc>
          <w:tcPr/>
          <w:p>
            <w:pPr>
              <w:pStyle w:val="Compact"/>
            </w:pPr>
            <w:r>
              <w:t xml:space="preserve">Voir OHA-RGPD-03 (majoritairement traitement automatisé, sans accès humain au contenu)</w:t>
            </w:r>
          </w:p>
        </w:tc>
      </w:tr>
    </w:tbl>
    <w:bookmarkEnd w:id="55"/>
    <w:bookmarkStart w:id="59" w:name="Xaef194183ecdfd08edae724911271a5bfba8a85"/>
    <w:p>
      <w:pPr>
        <w:pStyle w:val="Heading2"/>
      </w:pPr>
      <w:r>
        <w:t xml:space="preserve">4. Schéma de la chaîne d'acteurs (Option A — SaaS)</w:t>
      </w:r>
    </w:p>
    <w:p>
      <w:pPr>
        <w:pStyle w:val="FirstParagraph"/>
      </w:pPr>
      <w:r>
        <w:drawing>
          <wp:inline>
            <wp:extent cx="5334000" cy="4960620"/>
            <wp:effectExtent b="0" l="0" r="0" t="0"/>
            <wp:docPr descr="Chaîne d'acteurs" title="" id="57" name="Picture"/>
            <a:graphic>
              <a:graphicData uri="http://schemas.openxmlformats.org/drawingml/2006/picture">
                <pic:pic>
                  <pic:nvPicPr>
                    <pic:cNvPr descr="img/acteurs.png" id="58" name="Picture"/>
                    <pic:cNvPicPr>
                      <a:picLocks noChangeArrowheads="1" noChangeAspect="1"/>
                    </pic:cNvPicPr>
                  </pic:nvPicPr>
                  <pic:blipFill>
                    <a:blip r:embed="rId56"/>
                    <a:stretch>
                      <a:fillRect/>
                    </a:stretch>
                  </pic:blipFill>
                  <pic:spPr bwMode="auto">
                    <a:xfrm>
                      <a:off x="0" y="0"/>
                      <a:ext cx="5334000" cy="4960620"/>
                    </a:xfrm>
                    <a:prstGeom prst="rect">
                      <a:avLst/>
                    </a:prstGeom>
                    <a:noFill/>
                    <a:ln w="9525">
                      <a:noFill/>
                      <a:headEnd/>
                      <a:tailEnd/>
                    </a:ln>
                  </pic:spPr>
                </pic:pic>
              </a:graphicData>
            </a:graphic>
          </wp:inline>
        </w:drawing>
      </w:r>
    </w:p>
    <w:p>
      <w:pPr>
        <w:pStyle w:val="BodyText"/>
      </w:pPr>
      <w:r>
        <w:rPr>
          <w:i/>
          <w:iCs/>
        </w:rPr>
        <w:t xml:space="preserve">Figure 1 — Chaîne d'acteurs RGPD de TranscribIA : revendeurs/distributeurs, client responsable de traitement, OHADJA (éditeur et sous-traitant art. 28) et sous-traitants ultérieurs (version Visio .vsdx remise en phase d'implantation).</w:t>
      </w:r>
    </w:p>
    <w:p>
      <w:pPr>
        <w:pStyle w:val="BodyText"/>
      </w:pPr>
      <w:r>
        <w:rPr>
          <w:b/>
          <w:bCs/>
        </w:rPr>
        <w:t xml:space="preserve">Version texte :</w:t>
      </w:r>
    </w:p>
    <w:p>
      <w:pPr>
        <w:pStyle w:val="SourceCode"/>
      </w:pPr>
      <w:r>
        <w:rPr>
          <w:rStyle w:val="VerbatimChar"/>
        </w:rPr>
        <w:t xml:space="preserve">                     +------------------------------------------+</w:t>
      </w:r>
      <w:r>
        <w:br/>
      </w:r>
      <w:r>
        <w:rPr>
          <w:rStyle w:val="VerbatimChar"/>
        </w:rPr>
        <w:t xml:space="preserve">                     |        ORGANISATION CLIENTE               |</w:t>
      </w:r>
      <w:r>
        <w:br/>
      </w:r>
      <w:r>
        <w:rPr>
          <w:rStyle w:val="VerbatimChar"/>
        </w:rPr>
        <w:t xml:space="preserve">                     |        Responsable de traitement          |</w:t>
      </w:r>
      <w:r>
        <w:br/>
      </w:r>
      <w:r>
        <w:rPr>
          <w:rStyle w:val="VerbatimChar"/>
        </w:rPr>
        <w:t xml:space="preserve">                     |  (finalités, bases légales, durées,       |</w:t>
      </w:r>
      <w:r>
        <w:br/>
      </w:r>
      <w:r>
        <w:rPr>
          <w:rStyle w:val="VerbatimChar"/>
        </w:rPr>
        <w:t xml:space="preserve">                     |   information des personnes, droits)      |</w:t>
      </w:r>
      <w:r>
        <w:br/>
      </w:r>
      <w:r>
        <w:rPr>
          <w:rStyle w:val="VerbatimChar"/>
        </w:rPr>
        <w:t xml:space="preserve">                     +------------------------------------------+</w:t>
      </w:r>
      <w:r>
        <w:br/>
      </w:r>
      <w:r>
        <w:rPr>
          <w:rStyle w:val="VerbatimChar"/>
        </w:rPr>
        <w:t xml:space="preserve">                        |                              ^</w:t>
      </w:r>
      <w:r>
        <w:br/>
      </w:r>
      <w:r>
        <w:rPr>
          <w:rStyle w:val="VerbatimChar"/>
        </w:rPr>
        <w:t xml:space="preserve">    relation            |  utilise le service          |  assistance / support</w:t>
      </w:r>
      <w:r>
        <w:br/>
      </w:r>
      <w:r>
        <w:rPr>
          <w:rStyle w:val="VerbatimChar"/>
        </w:rPr>
        <w:t xml:space="preserve">    commerciale         v                              |  (2nd niveau)</w:t>
      </w:r>
      <w:r>
        <w:br/>
      </w:r>
      <w:r>
        <w:rPr>
          <w:rStyle w:val="VerbatimChar"/>
        </w:rPr>
        <w:t xml:space="preserve">   +-----------------------------+   +------------------------------------------+</w:t>
      </w:r>
      <w:r>
        <w:br/>
      </w:r>
      <w:r>
        <w:rPr>
          <w:rStyle w:val="VerbatimChar"/>
        </w:rPr>
        <w:t xml:space="preserve">   |  REVENDEURS / DISTRIBUTEURS  |   |                 OHADJA                    |</w:t>
      </w:r>
      <w:r>
        <w:br/>
      </w:r>
      <w:r>
        <w:rPr>
          <w:rStyle w:val="VerbatimChar"/>
        </w:rPr>
        <w:t xml:space="preserve">   |  - AMBASSADIA SARL (Monaco   |--&gt;|   Éditeur + Sous-traitant (art. 28)      |</w:t>
      </w:r>
      <w:r>
        <w:br/>
      </w:r>
      <w:r>
        <w:rPr>
          <w:rStyle w:val="VerbatimChar"/>
        </w:rPr>
        <w:t xml:space="preserve">   |    et France)                |   |   exploitation SaaS, support, maintenance|</w:t>
      </w:r>
      <w:r>
        <w:br/>
      </w:r>
      <w:r>
        <w:rPr>
          <w:rStyle w:val="VerbatimChar"/>
        </w:rPr>
        <w:t xml:space="preserve">   |  - intégrateur/revendeur     |   |   (accès données : France / UE only)     |</w:t>
      </w:r>
      <w:r>
        <w:br/>
      </w:r>
      <w:r>
        <w:rPr>
          <w:rStyle w:val="VerbatimChar"/>
        </w:rPr>
        <w:t xml:space="preserve">   |  (rôle commercial,           |   +------------------------------------------+</w:t>
      </w:r>
      <w:r>
        <w:br/>
      </w:r>
      <w:r>
        <w:rPr>
          <w:rStyle w:val="VerbatimChar"/>
        </w:rPr>
        <w:t xml:space="preserve">   |   AUCUN accès aux données)   |                     |</w:t>
      </w:r>
      <w:r>
        <w:br/>
      </w:r>
      <w:r>
        <w:rPr>
          <w:rStyle w:val="VerbatimChar"/>
        </w:rPr>
        <w:t xml:space="preserve">   +-----------------------------+                      |  recourt à des sous-traitants ultérieurs</w:t>
      </w:r>
      <w:r>
        <w:br/>
      </w:r>
      <w:r>
        <w:rPr>
          <w:rStyle w:val="VerbatimChar"/>
        </w:rPr>
        <w:t xml:space="preserve">                                                        v</w:t>
      </w:r>
      <w:r>
        <w:br/>
      </w:r>
      <w:r>
        <w:rPr>
          <w:rStyle w:val="VerbatimChar"/>
        </w:rPr>
        <w:t xml:space="preserve">                        +------------------------------------------+</w:t>
      </w:r>
      <w:r>
        <w:br/>
      </w:r>
      <w:r>
        <w:rPr>
          <w:rStyle w:val="VerbatimChar"/>
        </w:rPr>
        <w:t xml:space="preserve">                        |     SOUS-TRAITANTS ULTÉRIEURS (Option A)  |</w:t>
      </w:r>
      <w:r>
        <w:br/>
      </w:r>
      <w:r>
        <w:rPr>
          <w:rStyle w:val="VerbatimChar"/>
        </w:rPr>
        <w:t xml:space="preserve">                        |  Hébergement (France) · Sauvegarde (UE)   |</w:t>
      </w:r>
      <w:r>
        <w:br/>
      </w:r>
      <w:r>
        <w:rPr>
          <w:rStyle w:val="VerbatimChar"/>
        </w:rPr>
        <w:t xml:space="preserve">                        |  Transcription GPU · Fonctions IA (LLM)   |</w:t>
      </w:r>
      <w:r>
        <w:br/>
      </w:r>
      <w:r>
        <w:rPr>
          <w:rStyle w:val="VerbatimChar"/>
        </w:rPr>
        <w:t xml:space="preserve">                        |     -&gt; détail aux documents OHA-RGPD-03/04|</w:t>
      </w:r>
      <w:r>
        <w:br/>
      </w:r>
      <w:r>
        <w:rPr>
          <w:rStyle w:val="VerbatimChar"/>
        </w:rPr>
        <w:t xml:space="preserve">                        +------------------------------------------+</w:t>
      </w:r>
    </w:p>
    <w:p>
      <w:pPr>
        <w:pStyle w:val="FirstParagraph"/>
      </w:pPr>
      <w:r>
        <w:t xml:space="preserve">En</w:t>
      </w:r>
      <w:r>
        <w:t xml:space="preserve"> </w:t>
      </w:r>
      <w:r>
        <w:rPr>
          <w:b/>
          <w:bCs/>
        </w:rPr>
        <w:t xml:space="preserve">Option B isolée</w:t>
      </w:r>
      <w:r>
        <w:t xml:space="preserve">, le schéma se réduit au seul Client : tous les composants (application, base de données, transcription GPU, modèle de langage) s'exécutent dans son infrastructure ; OHADJA n'intervient que pour les opérations de maintenance/support qu'il lui confie, et il n'y a aucun sous-traitant ultérieur.</w:t>
      </w:r>
    </w:p>
    <w:p>
      <w:pPr>
        <w:pStyle w:val="BlockText"/>
      </w:pPr>
      <w:r>
        <w:t xml:space="preserve">Le synoptique définitif sera remis au format Visio (.vsdx) lors de la phase d'implantation, sur la base du présent schéma.</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59"/>
    <w:bookmarkEnd w:id="60"/>
    <w:bookmarkStart w:id="77" w:name="X001a6d632cb4d7312fb50fba4a39a5158970664"/>
    <w:p>
      <w:pPr>
        <w:pStyle w:val="Heading1"/>
      </w:pPr>
      <w:r>
        <w:t xml:space="preserve">Matrice détaillée des flux de données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OHA-RGPD-02</w:t>
            </w:r>
          </w:p>
        </w:tc>
      </w:tr>
      <w:tr>
        <w:tc>
          <w:tcPr/>
          <w:p>
            <w:pPr>
              <w:pStyle w:val="Compact"/>
            </w:pPr>
            <w:r>
              <w:t xml:space="preserve">Objet</w:t>
            </w:r>
          </w:p>
        </w:tc>
        <w:tc>
          <w:tcPr/>
          <w:p>
            <w:pPr>
              <w:pStyle w:val="Compact"/>
            </w:pPr>
            <w:r>
              <w:t xml:space="preserve">Matrice des flux de données, accès humains et techniques, parcours d'un fichier audio</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Destinataire</w:t>
            </w:r>
          </w:p>
        </w:tc>
        <w:tc>
          <w:tcPr/>
          <w:p>
            <w:pPr>
              <w:pStyle w:val="Compact"/>
            </w:pPr>
            <w:r>
              <w:t xml:space="preserve">Organisation cliente (document type)</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61" w:name="X9d6322e4a9ce86e02c43d63da458956a899a10f"/>
    <w:p>
      <w:pPr>
        <w:pStyle w:val="Heading2"/>
      </w:pPr>
      <w:r>
        <w:t xml:space="preserve">1. Objet et méthode</w:t>
      </w:r>
    </w:p>
    <w:p>
      <w:pPr>
        <w:pStyle w:val="FirstParagraph"/>
      </w:pPr>
      <w:r>
        <w:t xml:space="preserve">Le présent document décrit, pour chaque catégorie de données traitées par TranscribIA, l'origine, le parcours complet étape par étape, les composants traversés, l'état du chiffrement (en transit et au repos), les destinations, et la durée de conservation à chaque étape. Chaque flux est décrit pour les deux modes de fourniture :</w:t>
      </w:r>
    </w:p>
    <w:p>
      <w:pPr>
        <w:pStyle w:val="Compact"/>
        <w:numPr>
          <w:ilvl w:val="0"/>
          <w:numId w:val="1016"/>
        </w:numPr>
      </w:pPr>
      <w:r>
        <w:rPr>
          <w:b/>
          <w:bCs/>
        </w:rPr>
        <w:t xml:space="preserve">Option A — SaaS souverain</w:t>
      </w:r>
      <w:r>
        <w:t xml:space="preserve"> </w:t>
      </w:r>
      <w:r>
        <w:t xml:space="preserve">exploité par OHADJA ;</w:t>
      </w:r>
    </w:p>
    <w:p>
      <w:pPr>
        <w:pStyle w:val="Compact"/>
        <w:numPr>
          <w:ilvl w:val="0"/>
          <w:numId w:val="1016"/>
        </w:numPr>
      </w:pPr>
      <w:r>
        <w:rPr>
          <w:b/>
          <w:bCs/>
        </w:rPr>
        <w:t xml:space="preserve">Option B — On-premise</w:t>
      </w:r>
      <w:r>
        <w:t xml:space="preserve"> </w:t>
      </w:r>
      <w:r>
        <w:t xml:space="preserve">dans l'infrastructure du Client (variante isolée : aucun flux sortant).</w:t>
      </w:r>
    </w:p>
    <w:p>
      <w:pPr>
        <w:pStyle w:val="FirstParagraph"/>
      </w:pPr>
      <w:r>
        <w:t xml:space="preserve">Il comporte ensuite une section dédiée aux</w:t>
      </w:r>
      <w:r>
        <w:t xml:space="preserve"> </w:t>
      </w:r>
      <w:r>
        <w:rPr>
          <w:b/>
          <w:bCs/>
        </w:rPr>
        <w:t xml:space="preserve">accès humains et techniques</w:t>
      </w:r>
      <w:r>
        <w:t xml:space="preserve">, incluant le traitement franc des accès et des flux hors EEE possibles en Option A, puis le</w:t>
      </w:r>
      <w:r>
        <w:t xml:space="preserve"> </w:t>
      </w:r>
      <w:r>
        <w:rPr>
          <w:b/>
          <w:bCs/>
        </w:rPr>
        <w:t xml:space="preserve">parcours de bout en bout d'un fichier audio</w:t>
      </w:r>
      <w:r>
        <w:t xml:space="preserve">.</w:t>
      </w:r>
    </w:p>
    <w:p>
      <w:pPr>
        <w:pStyle w:val="BodyText"/>
      </w:pPr>
      <w:r>
        <w:t xml:space="preserve">Conventions de chiffrement employées :</w:t>
      </w:r>
    </w:p>
    <w:p>
      <w:pPr>
        <w:pStyle w:val="Compact"/>
        <w:numPr>
          <w:ilvl w:val="0"/>
          <w:numId w:val="1017"/>
        </w:numPr>
      </w:pPr>
      <w:r>
        <w:rPr>
          <w:b/>
          <w:bCs/>
        </w:rPr>
        <w:t xml:space="preserve">En transit</w:t>
      </w:r>
      <w:r>
        <w:t xml:space="preserve"> </w:t>
      </w:r>
      <w:r>
        <w:t xml:space="preserve">: TLS 1.2+ (Let's Encrypt, suites fortes, HSTS) pour tous les accès applicatifs, API et interfaces d'administration.</w:t>
      </w:r>
    </w:p>
    <w:p>
      <w:pPr>
        <w:pStyle w:val="Compact"/>
        <w:numPr>
          <w:ilvl w:val="0"/>
          <w:numId w:val="1017"/>
        </w:numPr>
      </w:pPr>
      <w:r>
        <w:rPr>
          <w:b/>
          <w:bCs/>
        </w:rPr>
        <w:t xml:space="preserve">Au repos</w:t>
      </w:r>
      <w:r>
        <w:t xml:space="preserve"> </w:t>
      </w:r>
      <w:r>
        <w:t xml:space="preserve">: sauvegardes chiffrées</w:t>
      </w:r>
      <w:r>
        <w:t xml:space="preserve"> </w:t>
      </w:r>
      <w:r>
        <w:rPr>
          <w:b/>
          <w:bCs/>
        </w:rPr>
        <w:t xml:space="preserve">avant</w:t>
      </w:r>
      <w:r>
        <w:t xml:space="preserve"> </w:t>
      </w:r>
      <w:r>
        <w:t xml:space="preserve">externalisation (age, X25519 + ChaCha20-Poly1305) ; chiffrement du disque système du serveur de production : selon l'offre du datacenter — mise à niveau (LUKS/gocryptfs) planifiée. Les données applicatives et la base PostgreSQL résident sur le serveur de production durci (SSH par clé, pare-feu, fail2ban). Dans les tableaux ci-dessous, la mention « au repos (voir §1) » renvoie à cette précision.</w:t>
      </w:r>
    </w:p>
    <w:bookmarkEnd w:id="61"/>
    <w:bookmarkStart w:id="69" w:name="Xfb7177fe7e5e1f8db1258879121b148c25ab828"/>
    <w:p>
      <w:pPr>
        <w:pStyle w:val="Heading2"/>
      </w:pPr>
      <w:r>
        <w:t xml:space="preserve">2. Matrice des flux par catégorie de données</w:t>
      </w:r>
    </w:p>
    <w:bookmarkStart w:id="62" w:name="Xf15a0825ce5467990e6266ab21e1d3cf1a58279"/>
    <w:p>
      <w:pPr>
        <w:pStyle w:val="Heading3"/>
      </w:pPr>
      <w:r>
        <w:t xml:space="preserve">2.1 Fichiers audio (et vidéo le cas échéant)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Étape</w:t>
            </w:r>
          </w:p>
        </w:tc>
        <w:tc>
          <w:tcPr/>
          <w:p>
            <w:pPr>
              <w:pStyle w:val="Compact"/>
            </w:pPr>
            <w:r>
              <w:t xml:space="preserve">Acteur / composant</w:t>
            </w:r>
          </w:p>
        </w:tc>
        <w:tc>
          <w:tcPr/>
          <w:p>
            <w:pPr>
              <w:pStyle w:val="Compact"/>
            </w:pPr>
            <w:r>
              <w:t xml:space="preserve">Localisation</w:t>
            </w:r>
          </w:p>
        </w:tc>
        <w:tc>
          <w:tcPr/>
          <w:p>
            <w:pPr>
              <w:pStyle w:val="Compact"/>
            </w:pPr>
            <w:r>
              <w:t xml:space="preserve">Chiffrement</w:t>
            </w:r>
          </w:p>
        </w:tc>
        <w:tc>
          <w:tcPr/>
          <w:p>
            <w:pPr>
              <w:pStyle w:val="Compact"/>
            </w:pPr>
            <w:r>
              <w:t xml:space="preserve">Durée à l'étape</w:t>
            </w:r>
          </w:p>
        </w:tc>
      </w:tr>
      <w:tr>
        <w:tc>
          <w:tcPr/>
          <w:p>
            <w:pPr>
              <w:pStyle w:val="Compact"/>
            </w:pPr>
            <w:r>
              <w:t xml:space="preserve">Origine</w:t>
            </w:r>
          </w:p>
        </w:tc>
        <w:tc>
          <w:tcPr/>
          <w:p>
            <w:pPr>
              <w:pStyle w:val="Compact"/>
            </w:pPr>
            <w:r>
              <w:t xml:space="preserve">Utilisateur du Client (upload)</w:t>
            </w:r>
          </w:p>
        </w:tc>
        <w:tc>
          <w:tcPr/>
          <w:p>
            <w:pPr>
              <w:pStyle w:val="Compact"/>
            </w:pPr>
            <w:r>
              <w:t xml:space="preserve">Poste client</w:t>
            </w:r>
          </w:p>
        </w:tc>
        <w:tc>
          <w:tcPr/>
          <w:p>
            <w:pPr>
              <w:pStyle w:val="Compact"/>
            </w:pPr>
            <w:r>
              <w:t xml:space="preserve">TLS en transit</w:t>
            </w:r>
          </w:p>
        </w:tc>
        <w:tc>
          <w:tcPr/>
          <w:p>
            <w:pPr>
              <w:pStyle w:val="Compact"/>
            </w:pPr>
            <w:r>
              <w:t xml:space="preserve">—</w:t>
            </w:r>
          </w:p>
        </w:tc>
      </w:tr>
      <w:tr>
        <w:tc>
          <w:tcPr/>
          <w:p>
            <w:pPr>
              <w:pStyle w:val="Compact"/>
            </w:pPr>
            <w:r>
              <w:t xml:space="preserve">Réception</w:t>
            </w:r>
          </w:p>
        </w:tc>
        <w:tc>
          <w:tcPr/>
          <w:p>
            <w:pPr>
              <w:pStyle w:val="Compact"/>
            </w:pPr>
            <w:r>
              <w:t xml:space="preserve">Nginx → application Laravel</w:t>
            </w:r>
          </w:p>
        </w:tc>
        <w:tc>
          <w:tcPr/>
          <w:p>
            <w:pPr>
              <w:pStyle w:val="Compact"/>
            </w:pPr>
            <w:r>
              <w:t xml:space="preserve">Serveur prod (France, Opt. A) / infra client (Opt. B)</w:t>
            </w:r>
          </w:p>
        </w:tc>
        <w:tc>
          <w:tcPr/>
          <w:p>
            <w:pPr>
              <w:pStyle w:val="Compact"/>
            </w:pPr>
            <w:r>
              <w:t xml:space="preserve">TLS ; ClamAV avant écriture</w:t>
            </w:r>
          </w:p>
        </w:tc>
        <w:tc>
          <w:tcPr/>
          <w:p>
            <w:pPr>
              <w:pStyle w:val="Compact"/>
            </w:pPr>
            <w:r>
              <w:t xml:space="preserve">Transitoire</w:t>
            </w:r>
          </w:p>
        </w:tc>
      </w:tr>
      <w:tr>
        <w:tc>
          <w:tcPr/>
          <w:p>
            <w:pPr>
              <w:pStyle w:val="Compact"/>
            </w:pPr>
            <w:r>
              <w:t xml:space="preserve">Stockage</w:t>
            </w:r>
          </w:p>
        </w:tc>
        <w:tc>
          <w:tcPr/>
          <w:p>
            <w:pPr>
              <w:pStyle w:val="Compact"/>
            </w:pPr>
            <w:r>
              <w:t xml:space="preserve">Système de fichiers applicatif</w:t>
            </w:r>
          </w:p>
        </w:tc>
        <w:tc>
          <w:tcPr/>
          <w:p>
            <w:pPr>
              <w:pStyle w:val="Compact"/>
            </w:pPr>
            <w:r>
              <w:t xml:space="preserve">Serveur prod, France (Opt. A) / infra client</w:t>
            </w:r>
          </w:p>
        </w:tc>
        <w:tc>
          <w:tcPr/>
          <w:p>
            <w:pPr>
              <w:pStyle w:val="Compact"/>
            </w:pPr>
            <w:r>
              <w:t xml:space="preserve">Au repos (voir §1)</w:t>
            </w:r>
          </w:p>
        </w:tc>
        <w:tc>
          <w:tcPr/>
          <w:p>
            <w:pPr>
              <w:pStyle w:val="Compact"/>
            </w:pPr>
            <w:r>
              <w:t xml:space="preserve">Durée paramétrée par le Client, à défaut durée du contrat</w:t>
            </w:r>
          </w:p>
        </w:tc>
      </w:tr>
      <w:tr>
        <w:tc>
          <w:tcPr/>
          <w:p>
            <w:pPr>
              <w:pStyle w:val="Compact"/>
            </w:pPr>
            <w:r>
              <w:t xml:space="preserve">Traitement</w:t>
            </w:r>
          </w:p>
        </w:tc>
        <w:tc>
          <w:tcPr/>
          <w:p>
            <w:pPr>
              <w:pStyle w:val="Compact"/>
            </w:pPr>
            <w:r>
              <w:t xml:space="preserve">Worker de transcription GPU</w:t>
            </w:r>
          </w:p>
        </w:tc>
        <w:tc>
          <w:tcPr/>
          <w:p>
            <w:pPr>
              <w:pStyle w:val="Compact"/>
            </w:pPr>
            <w:r>
              <w:t xml:space="preserve">GPU dédié UE (Opt. A) / GPU local (Opt. B isolée)</w:t>
            </w:r>
          </w:p>
        </w:tc>
        <w:tc>
          <w:tcPr/>
          <w:p>
            <w:pPr>
              <w:pStyle w:val="Compact"/>
            </w:pPr>
            <w:r>
              <w:t xml:space="preserve">TLS entre composants ; URL signée temporaire (30 min) pour le streaming</w:t>
            </w:r>
          </w:p>
        </w:tc>
        <w:tc>
          <w:tcPr/>
          <w:p>
            <w:pPr>
              <w:pStyle w:val="Compact"/>
            </w:pPr>
            <w:r>
              <w:t xml:space="preserve">Le temps du job ; supprimé côté worker après traitement</w:t>
            </w:r>
          </w:p>
        </w:tc>
      </w:tr>
      <w:tr>
        <w:tc>
          <w:tcPr/>
          <w:p>
            <w:pPr>
              <w:pStyle w:val="Compact"/>
            </w:pPr>
            <w:r>
              <w:t xml:space="preserve">Sauvegarde</w:t>
            </w:r>
          </w:p>
        </w:tc>
        <w:tc>
          <w:tcPr/>
          <w:p>
            <w:pPr>
              <w:pStyle w:val="Compact"/>
            </w:pPr>
            <w:r>
              <w:t xml:space="preserve">Chiffrement age → rclone</w:t>
            </w:r>
          </w:p>
        </w:tc>
        <w:tc>
          <w:tcPr/>
          <w:p>
            <w:pPr>
              <w:pStyle w:val="Compact"/>
            </w:pPr>
            <w:r>
              <w:t xml:space="preserve">Scaleway (France, UE) (Opt. A)</w:t>
            </w:r>
          </w:p>
        </w:tc>
        <w:tc>
          <w:tcPr/>
          <w:p>
            <w:pPr>
              <w:pStyle w:val="Compact"/>
            </w:pPr>
            <w:r>
              <w:t xml:space="preserve">age (avant envoi)</w:t>
            </w:r>
          </w:p>
        </w:tc>
        <w:tc>
          <w:tcPr/>
          <w:p>
            <w:pPr>
              <w:pStyle w:val="Compact"/>
            </w:pPr>
            <w:r>
              <w:t xml:space="preserve">≤ 90 j (rotation)</w:t>
            </w:r>
          </w:p>
        </w:tc>
      </w:tr>
      <w:tr>
        <w:tc>
          <w:tcPr/>
          <w:p>
            <w:pPr>
              <w:pStyle w:val="Compact"/>
            </w:pPr>
            <w:r>
              <w:t xml:space="preserve">Destination finale</w:t>
            </w:r>
          </w:p>
        </w:tc>
        <w:tc>
          <w:tcPr/>
          <w:p>
            <w:pPr>
              <w:pStyle w:val="Compact"/>
            </w:pPr>
            <w:r>
              <w:t xml:space="preserve">Suppression sur demande / expiration</w:t>
            </w:r>
          </w:p>
        </w:tc>
        <w:tc>
          <w:tcPr/>
          <w:p>
            <w:pPr>
              <w:pStyle w:val="Compact"/>
            </w:pPr>
            <w:r>
              <w:t xml:space="preserve">—</w:t>
            </w:r>
          </w:p>
        </w:tc>
        <w:tc>
          <w:tcPr/>
          <w:p>
            <w:pPr>
              <w:pStyle w:val="Compact"/>
            </w:pPr>
            <w:r>
              <w:t xml:space="preserve">—</w:t>
            </w:r>
          </w:p>
        </w:tc>
        <w:tc>
          <w:tcPr/>
          <w:p>
            <w:pPr>
              <w:pStyle w:val="Compact"/>
            </w:pPr>
            <w:r>
              <w:t xml:space="preserve">Selon politique de conservation (voir OHA-RGPD-05)</w:t>
            </w:r>
          </w:p>
        </w:tc>
      </w:tr>
    </w:tbl>
    <w:bookmarkEnd w:id="62"/>
    <w:bookmarkStart w:id="63" w:name="X150edd64680ffa97c3c8f0861456ba0cfb19877"/>
    <w:p>
      <w:pPr>
        <w:pStyle w:val="Heading3"/>
      </w:pPr>
      <w:r>
        <w:t xml:space="preserve">2.2 Transcriptions (segments, versions, corrections, chapitres, diarisation)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Étape</w:t>
            </w:r>
          </w:p>
        </w:tc>
        <w:tc>
          <w:tcPr/>
          <w:p>
            <w:pPr>
              <w:pStyle w:val="Compact"/>
            </w:pPr>
            <w:r>
              <w:t xml:space="preserve">Acteur / composant</w:t>
            </w:r>
          </w:p>
        </w:tc>
        <w:tc>
          <w:tcPr/>
          <w:p>
            <w:pPr>
              <w:pStyle w:val="Compact"/>
            </w:pPr>
            <w:r>
              <w:t xml:space="preserve">Localisation</w:t>
            </w:r>
          </w:p>
        </w:tc>
        <w:tc>
          <w:tcPr/>
          <w:p>
            <w:pPr>
              <w:pStyle w:val="Compact"/>
            </w:pPr>
            <w:r>
              <w:t xml:space="preserve">Chiffrement</w:t>
            </w:r>
          </w:p>
        </w:tc>
        <w:tc>
          <w:tcPr/>
          <w:p>
            <w:pPr>
              <w:pStyle w:val="Compact"/>
            </w:pPr>
            <w:r>
              <w:t xml:space="preserve">Durée à l'étape</w:t>
            </w:r>
          </w:p>
        </w:tc>
      </w:tr>
      <w:tr>
        <w:tc>
          <w:tcPr/>
          <w:p>
            <w:pPr>
              <w:pStyle w:val="Compact"/>
            </w:pPr>
            <w:r>
              <w:t xml:space="preserve">Génération</w:t>
            </w:r>
          </w:p>
        </w:tc>
        <w:tc>
          <w:tcPr/>
          <w:p>
            <w:pPr>
              <w:pStyle w:val="Compact"/>
            </w:pPr>
            <w:r>
              <w:t xml:space="preserve">Worker de transcription (whisperX + pyannote)</w:t>
            </w:r>
          </w:p>
        </w:tc>
        <w:tc>
          <w:tcPr/>
          <w:p>
            <w:pPr>
              <w:pStyle w:val="Compact"/>
            </w:pPr>
            <w:r>
              <w:t xml:space="preserve">GPU dédié UE (Opt. A) / GPU local (Opt. B)</w:t>
            </w:r>
          </w:p>
        </w:tc>
        <w:tc>
          <w:tcPr/>
          <w:p>
            <w:pPr>
              <w:pStyle w:val="Compact"/>
            </w:pPr>
            <w:r>
              <w:t xml:space="preserve">TLS entre composants</w:t>
            </w:r>
          </w:p>
        </w:tc>
        <w:tc>
          <w:tcPr/>
          <w:p>
            <w:pPr>
              <w:pStyle w:val="Compact"/>
            </w:pPr>
            <w:r>
              <w:t xml:space="preserve">Le temps du job</w:t>
            </w:r>
          </w:p>
        </w:tc>
      </w:tr>
      <w:tr>
        <w:tc>
          <w:tcPr/>
          <w:p>
            <w:pPr>
              <w:pStyle w:val="Compact"/>
            </w:pPr>
            <w:r>
              <w:t xml:space="preserve">Retour</w:t>
            </w:r>
          </w:p>
        </w:tc>
        <w:tc>
          <w:tcPr/>
          <w:p>
            <w:pPr>
              <w:pStyle w:val="Compact"/>
            </w:pPr>
            <w:r>
              <w:rPr>
                <w:rStyle w:val="VerbatimChar"/>
              </w:rPr>
              <w:t xml:space="preserve">POST /complete</w:t>
            </w:r>
            <w:r>
              <w:t xml:space="preserve"> </w:t>
            </w:r>
            <w:r>
              <w:t xml:space="preserve">(JSON segments) → application</w:t>
            </w:r>
          </w:p>
        </w:tc>
        <w:tc>
          <w:tcPr/>
          <w:p>
            <w:pPr>
              <w:pStyle w:val="Compact"/>
            </w:pPr>
            <w:r>
              <w:t xml:space="preserve">Serveur prod / infra client</w:t>
            </w:r>
          </w:p>
        </w:tc>
        <w:tc>
          <w:tcPr/>
          <w:p>
            <w:pPr>
              <w:pStyle w:val="Compact"/>
            </w:pPr>
            <w:r>
              <w:t xml:space="preserve">TLS</w:t>
            </w:r>
          </w:p>
        </w:tc>
        <w:tc>
          <w:tcPr/>
          <w:p>
            <w:pPr>
              <w:pStyle w:val="Compact"/>
            </w:pPr>
            <w:r>
              <w:t xml:space="preserve">Transitoire</w:t>
            </w:r>
          </w:p>
        </w:tc>
      </w:tr>
      <w:tr>
        <w:tc>
          <w:tcPr/>
          <w:p>
            <w:pPr>
              <w:pStyle w:val="Compact"/>
            </w:pPr>
            <w:r>
              <w:t xml:space="preserve">Stockage</w:t>
            </w:r>
          </w:p>
        </w:tc>
        <w:tc>
          <w:tcPr/>
          <w:p>
            <w:pPr>
              <w:pStyle w:val="Compact"/>
            </w:pPr>
            <w:r>
              <w:t xml:space="preserve">PostgreSQL (schéma dédié à l'organisation)</w:t>
            </w:r>
          </w:p>
        </w:tc>
        <w:tc>
          <w:tcPr/>
          <w:p>
            <w:pPr>
              <w:pStyle w:val="Compact"/>
            </w:pPr>
            <w:r>
              <w:t xml:space="preserve">Serveur prod, France</w:t>
            </w:r>
          </w:p>
        </w:tc>
        <w:tc>
          <w:tcPr/>
          <w:p>
            <w:pPr>
              <w:pStyle w:val="Compact"/>
            </w:pPr>
            <w:r>
              <w:t xml:space="preserve">Au repos (voir §1)</w:t>
            </w:r>
          </w:p>
        </w:tc>
        <w:tc>
          <w:tcPr/>
          <w:p>
            <w:pPr>
              <w:pStyle w:val="Compact"/>
            </w:pPr>
            <w:r>
              <w:t xml:space="preserve">Durée paramétrée / durée du contrat</w:t>
            </w:r>
          </w:p>
        </w:tc>
      </w:tr>
      <w:tr>
        <w:tc>
          <w:tcPr/>
          <w:p>
            <w:pPr>
              <w:pStyle w:val="Compact"/>
            </w:pPr>
            <w:r>
              <w:t xml:space="preserve">Exploitation</w:t>
            </w:r>
          </w:p>
        </w:tc>
        <w:tc>
          <w:tcPr/>
          <w:p>
            <w:pPr>
              <w:pStyle w:val="Compact"/>
            </w:pPr>
            <w:r>
              <w:t xml:space="preserve">Édition, correction, versionnage par l'utilisateur</w:t>
            </w:r>
          </w:p>
        </w:tc>
        <w:tc>
          <w:tcPr/>
          <w:p>
            <w:pPr>
              <w:pStyle w:val="Compact"/>
            </w:pPr>
            <w:r>
              <w:t xml:space="preserve">Serveur prod / infra client</w:t>
            </w:r>
          </w:p>
        </w:tc>
        <w:tc>
          <w:tcPr/>
          <w:p>
            <w:pPr>
              <w:pStyle w:val="Compact"/>
            </w:pPr>
            <w:r>
              <w:t xml:space="preserve">TLS</w:t>
            </w:r>
          </w:p>
        </w:tc>
        <w:tc>
          <w:tcPr/>
          <w:p>
            <w:pPr>
              <w:pStyle w:val="Compact"/>
            </w:pPr>
            <w:r>
              <w:t xml:space="preserve">Idem</w:t>
            </w:r>
          </w:p>
        </w:tc>
      </w:tr>
      <w:tr>
        <w:tc>
          <w:tcPr/>
          <w:p>
            <w:pPr>
              <w:pStyle w:val="Compact"/>
            </w:pPr>
            <w:r>
              <w:t xml:space="preserve">Sauvegarde</w:t>
            </w:r>
          </w:p>
        </w:tc>
        <w:tc>
          <w:tcPr/>
          <w:p>
            <w:pPr>
              <w:pStyle w:val="Compact"/>
            </w:pPr>
            <w:r>
              <w:t xml:space="preserve">age → rclone</w:t>
            </w:r>
          </w:p>
        </w:tc>
        <w:tc>
          <w:tcPr/>
          <w:p>
            <w:pPr>
              <w:pStyle w:val="Compact"/>
            </w:pPr>
            <w:r>
              <w:t xml:space="preserve">Scaleway (France, UE) (Opt. A)</w:t>
            </w:r>
          </w:p>
        </w:tc>
        <w:tc>
          <w:tcPr/>
          <w:p>
            <w:pPr>
              <w:pStyle w:val="Compact"/>
            </w:pPr>
            <w:r>
              <w:t xml:space="preserve">age</w:t>
            </w:r>
          </w:p>
        </w:tc>
        <w:tc>
          <w:tcPr/>
          <w:p>
            <w:pPr>
              <w:pStyle w:val="Compact"/>
            </w:pPr>
            <w:r>
              <w:t xml:space="preserve">≤ 90 j</w:t>
            </w:r>
          </w:p>
        </w:tc>
      </w:tr>
    </w:tbl>
    <w:bookmarkEnd w:id="63"/>
    <w:bookmarkStart w:id="64" w:name="Xae01f554397da6c2da74971edeb9ac8502cc0e8"/>
    <w:p>
      <w:pPr>
        <w:pStyle w:val="Heading3"/>
      </w:pPr>
      <w:r>
        <w:t xml:space="preserve">2.3 Résumés et générations IA (procès-verbaux, chapitrages, analyses)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Étape</w:t>
            </w:r>
          </w:p>
        </w:tc>
        <w:tc>
          <w:tcPr/>
          <w:p>
            <w:pPr>
              <w:pStyle w:val="Compact"/>
            </w:pPr>
            <w:r>
              <w:t xml:space="preserve">Acteur / composant</w:t>
            </w:r>
          </w:p>
        </w:tc>
        <w:tc>
          <w:tcPr/>
          <w:p>
            <w:pPr>
              <w:pStyle w:val="Compact"/>
            </w:pPr>
            <w:r>
              <w:t xml:space="preserve">Localisation</w:t>
            </w:r>
          </w:p>
        </w:tc>
        <w:tc>
          <w:tcPr/>
          <w:p>
            <w:pPr>
              <w:pStyle w:val="Compact"/>
            </w:pPr>
            <w:r>
              <w:t xml:space="preserve">Chiffrement</w:t>
            </w:r>
          </w:p>
        </w:tc>
        <w:tc>
          <w:tcPr/>
          <w:p>
            <w:pPr>
              <w:pStyle w:val="Compact"/>
            </w:pPr>
            <w:r>
              <w:t xml:space="preserve">Durée à l'étape</w:t>
            </w:r>
          </w:p>
        </w:tc>
      </w:tr>
      <w:tr>
        <w:tc>
          <w:tcPr/>
          <w:p>
            <w:pPr>
              <w:pStyle w:val="Compact"/>
            </w:pPr>
            <w:r>
              <w:t xml:space="preserve">Déclenchement</w:t>
            </w:r>
          </w:p>
        </w:tc>
        <w:tc>
          <w:tcPr/>
          <w:p>
            <w:pPr>
              <w:pStyle w:val="Compact"/>
            </w:pPr>
            <w:r>
              <w:t xml:space="preserve">Utilisateur sélectionne des sources</w:t>
            </w:r>
          </w:p>
        </w:tc>
        <w:tc>
          <w:tcPr/>
          <w:p>
            <w:pPr>
              <w:pStyle w:val="Compact"/>
            </w:pPr>
            <w:r>
              <w:t xml:space="preserve">Serveur prod / infra client</w:t>
            </w:r>
          </w:p>
        </w:tc>
        <w:tc>
          <w:tcPr/>
          <w:p>
            <w:pPr>
              <w:pStyle w:val="Compact"/>
            </w:pPr>
            <w:r>
              <w:t xml:space="preserve">TLS</w:t>
            </w:r>
          </w:p>
        </w:tc>
        <w:tc>
          <w:tcPr/>
          <w:p>
            <w:pPr>
              <w:pStyle w:val="Compact"/>
            </w:pPr>
            <w:r>
              <w:t xml:space="preserve">—</w:t>
            </w:r>
          </w:p>
        </w:tc>
      </w:tr>
      <w:tr>
        <w:tc>
          <w:tcPr/>
          <w:p>
            <w:pPr>
              <w:pStyle w:val="Compact"/>
            </w:pPr>
            <w:r>
              <w:t xml:space="preserve">Envoi au modèle</w:t>
            </w:r>
          </w:p>
        </w:tc>
        <w:tc>
          <w:tcPr/>
          <w:p>
            <w:pPr>
              <w:pStyle w:val="Compact"/>
            </w:pPr>
            <w:r>
              <w:rPr>
                <w:b/>
                <w:bCs/>
              </w:rPr>
              <w:t xml:space="preserve">Voie primaire : serveurs vLLM maîtrisés (UE)</w:t>
            </w:r>
            <w:r>
              <w:t xml:space="preserve"> </w:t>
            </w:r>
            <w:r>
              <w:t xml:space="preserve">; secours désactivable : OpenRouter → fournisseur de modèle ; ou LLM auto-hébergé (Opt. B)</w:t>
            </w:r>
          </w:p>
        </w:tc>
        <w:tc>
          <w:tcPr/>
          <w:p>
            <w:pPr>
              <w:pStyle w:val="Compact"/>
            </w:pPr>
            <w:r>
              <w:t xml:space="preserve">UE (Strasbourg / Paris) en primaire ; US possible</w:t>
            </w:r>
            <w:r>
              <w:t xml:space="preserve"> </w:t>
            </w:r>
            <w:r>
              <w:rPr>
                <w:b/>
                <w:bCs/>
              </w:rPr>
              <w:t xml:space="preserve">seulement</w:t>
            </w:r>
            <w:r>
              <w:t xml:space="preserve"> </w:t>
            </w:r>
            <w:r>
              <w:t xml:space="preserve">via le secours OpenRouter</w:t>
            </w:r>
          </w:p>
        </w:tc>
        <w:tc>
          <w:tcPr/>
          <w:p>
            <w:pPr>
              <w:pStyle w:val="Compact"/>
            </w:pPr>
            <w:r>
              <w:t xml:space="preserve">TLS ; no-train ; minimisation</w:t>
            </w:r>
          </w:p>
        </w:tc>
        <w:tc>
          <w:tcPr/>
          <w:p>
            <w:pPr>
              <w:pStyle w:val="Compact"/>
            </w:pPr>
            <w:r>
              <w:t xml:space="preserve">Le temps de l'inférence ; pas de stockage durable côté fournisseur</w:t>
            </w:r>
          </w:p>
        </w:tc>
      </w:tr>
      <w:tr>
        <w:tc>
          <w:tcPr/>
          <w:p>
            <w:pPr>
              <w:pStyle w:val="Compact"/>
            </w:pPr>
            <w:r>
              <w:t xml:space="preserve">Retour</w:t>
            </w:r>
          </w:p>
        </w:tc>
        <w:tc>
          <w:tcPr/>
          <w:p>
            <w:pPr>
              <w:pStyle w:val="Compact"/>
            </w:pPr>
            <w:r>
              <w:t xml:space="preserve">Réponse générée → application</w:t>
            </w:r>
          </w:p>
        </w:tc>
        <w:tc>
          <w:tcPr/>
          <w:p>
            <w:pPr>
              <w:pStyle w:val="Compact"/>
            </w:pPr>
            <w:r>
              <w:t xml:space="preserve">Serveur prod / infra client</w:t>
            </w:r>
          </w:p>
        </w:tc>
        <w:tc>
          <w:tcPr/>
          <w:p>
            <w:pPr>
              <w:pStyle w:val="Compact"/>
            </w:pPr>
            <w:r>
              <w:t xml:space="preserve">TLS</w:t>
            </w:r>
          </w:p>
        </w:tc>
        <w:tc>
          <w:tcPr/>
          <w:p>
            <w:pPr>
              <w:pStyle w:val="Compact"/>
            </w:pPr>
            <w:r>
              <w:t xml:space="preserve">Transitoire</w:t>
            </w:r>
          </w:p>
        </w:tc>
      </w:tr>
      <w:tr>
        <w:tc>
          <w:tcPr/>
          <w:p>
            <w:pPr>
              <w:pStyle w:val="Compact"/>
            </w:pPr>
            <w:r>
              <w:t xml:space="preserve">Stockage</w:t>
            </w:r>
          </w:p>
        </w:tc>
        <w:tc>
          <w:tcPr/>
          <w:p>
            <w:pPr>
              <w:pStyle w:val="Compact"/>
            </w:pPr>
            <w:r>
              <w:t xml:space="preserve">Table</w:t>
            </w:r>
            <w:r>
              <w:t xml:space="preserve"> </w:t>
            </w:r>
            <w:r>
              <w:rPr>
                <w:rStyle w:val="VerbatimChar"/>
              </w:rPr>
              <w:t xml:space="preserve">ai_generations</w:t>
            </w:r>
            <w:r>
              <w:t xml:space="preserve"> </w:t>
            </w:r>
            <w:r>
              <w:t xml:space="preserve">(tenant)</w:t>
            </w:r>
          </w:p>
        </w:tc>
        <w:tc>
          <w:tcPr/>
          <w:p>
            <w:pPr>
              <w:pStyle w:val="Compact"/>
            </w:pPr>
            <w:r>
              <w:t xml:space="preserve">PostgreSQL, serveur prod France</w:t>
            </w:r>
          </w:p>
        </w:tc>
        <w:tc>
          <w:tcPr/>
          <w:p>
            <w:pPr>
              <w:pStyle w:val="Compact"/>
            </w:pPr>
            <w:r>
              <w:t xml:space="preserve">Au repos (voir §1)</w:t>
            </w:r>
          </w:p>
        </w:tc>
        <w:tc>
          <w:tcPr/>
          <w:p>
            <w:pPr>
              <w:pStyle w:val="Compact"/>
            </w:pPr>
            <w:r>
              <w:t xml:space="preserve">Durée paramétrée / durée du contrat</w:t>
            </w:r>
          </w:p>
        </w:tc>
      </w:tr>
      <w:tr>
        <w:tc>
          <w:tcPr/>
          <w:p>
            <w:pPr>
              <w:pStyle w:val="Compact"/>
            </w:pPr>
            <w:r>
              <w:t xml:space="preserve">Sauvegarde</w:t>
            </w:r>
          </w:p>
        </w:tc>
        <w:tc>
          <w:tcPr/>
          <w:p>
            <w:pPr>
              <w:pStyle w:val="Compact"/>
            </w:pPr>
            <w:r>
              <w:t xml:space="preserve">age → rclone</w:t>
            </w:r>
          </w:p>
        </w:tc>
        <w:tc>
          <w:tcPr/>
          <w:p>
            <w:pPr>
              <w:pStyle w:val="Compact"/>
            </w:pPr>
            <w:r>
              <w:t xml:space="preserve">Scaleway (France, UE)</w:t>
            </w:r>
          </w:p>
        </w:tc>
        <w:tc>
          <w:tcPr/>
          <w:p>
            <w:pPr>
              <w:pStyle w:val="Compact"/>
            </w:pPr>
            <w:r>
              <w:t xml:space="preserve">age</w:t>
            </w:r>
          </w:p>
        </w:tc>
        <w:tc>
          <w:tcPr/>
          <w:p>
            <w:pPr>
              <w:pStyle w:val="Compact"/>
            </w:pPr>
            <w:r>
              <w:t xml:space="preserve">≤ 90 j</w:t>
            </w:r>
          </w:p>
        </w:tc>
      </w:tr>
    </w:tbl>
    <w:bookmarkEnd w:id="64"/>
    <w:bookmarkStart w:id="65" w:name="Xf33d00c3bf24ebe4aaf41272309e8f487b00b12"/>
    <w:p>
      <w:pPr>
        <w:pStyle w:val="Heading3"/>
      </w:pPr>
      <w:r>
        <w:t xml:space="preserve">2.4 Prompts et sorties des modèles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Étape</w:t>
            </w:r>
          </w:p>
        </w:tc>
        <w:tc>
          <w:tcPr/>
          <w:p>
            <w:pPr>
              <w:pStyle w:val="Compact"/>
            </w:pPr>
            <w:r>
              <w:t xml:space="preserve">Acteur / composant</w:t>
            </w:r>
          </w:p>
        </w:tc>
        <w:tc>
          <w:tcPr/>
          <w:p>
            <w:pPr>
              <w:pStyle w:val="Compact"/>
            </w:pPr>
            <w:r>
              <w:t xml:space="preserve">Localisation</w:t>
            </w:r>
          </w:p>
        </w:tc>
        <w:tc>
          <w:tcPr/>
          <w:p>
            <w:pPr>
              <w:pStyle w:val="Compact"/>
            </w:pPr>
            <w:r>
              <w:t xml:space="preserve">Chiffrement</w:t>
            </w:r>
          </w:p>
        </w:tc>
        <w:tc>
          <w:tcPr/>
          <w:p>
            <w:pPr>
              <w:pStyle w:val="Compact"/>
            </w:pPr>
            <w:r>
              <w:t xml:space="preserve">Durée à l'étape</w:t>
            </w:r>
          </w:p>
        </w:tc>
      </w:tr>
      <w:tr>
        <w:tc>
          <w:tcPr/>
          <w:p>
            <w:pPr>
              <w:pStyle w:val="Compact"/>
            </w:pPr>
            <w:r>
              <w:t xml:space="preserve">Constitution du prompt</w:t>
            </w:r>
          </w:p>
        </w:tc>
        <w:tc>
          <w:tcPr/>
          <w:p>
            <w:pPr>
              <w:pStyle w:val="Compact"/>
            </w:pPr>
            <w:r>
              <w:t xml:space="preserve">Application (sources sélectionnées par l'utilisateur, minimisation)</w:t>
            </w:r>
          </w:p>
        </w:tc>
        <w:tc>
          <w:tcPr/>
          <w:p>
            <w:pPr>
              <w:pStyle w:val="Compact"/>
            </w:pPr>
            <w:r>
              <w:t xml:space="preserve">Serveur prod / infra client</w:t>
            </w:r>
          </w:p>
        </w:tc>
        <w:tc>
          <w:tcPr/>
          <w:p>
            <w:pPr>
              <w:pStyle w:val="Compact"/>
            </w:pPr>
            <w:r>
              <w:t xml:space="preserve">TLS</w:t>
            </w:r>
          </w:p>
        </w:tc>
        <w:tc>
          <w:tcPr/>
          <w:p>
            <w:pPr>
              <w:pStyle w:val="Compact"/>
            </w:pPr>
            <w:r>
              <w:t xml:space="preserve">Transitoire</w:t>
            </w:r>
          </w:p>
        </w:tc>
      </w:tr>
      <w:tr>
        <w:tc>
          <w:tcPr/>
          <w:p>
            <w:pPr>
              <w:pStyle w:val="Compact"/>
            </w:pPr>
            <w:r>
              <w:t xml:space="preserve">Transmission</w:t>
            </w:r>
          </w:p>
        </w:tc>
        <w:tc>
          <w:tcPr/>
          <w:p>
            <w:pPr>
              <w:pStyle w:val="Compact"/>
            </w:pPr>
            <w:r>
              <w:rPr>
                <w:b/>
                <w:bCs/>
              </w:rPr>
              <w:t xml:space="preserve">Voie primaire : serveurs vLLM UE (maîtrisés)</w:t>
            </w:r>
            <w:r>
              <w:t xml:space="preserve"> </w:t>
            </w:r>
            <w:r>
              <w:t xml:space="preserve">; secours désactivable : OpenRouter → fournisseur ; ou endpoint local (Opt. B)</w:t>
            </w:r>
          </w:p>
        </w:tc>
        <w:tc>
          <w:tcPr/>
          <w:p>
            <w:pPr>
              <w:pStyle w:val="Compact"/>
            </w:pPr>
            <w:r>
              <w:t xml:space="preserve">UE en primaire ; US possible</w:t>
            </w:r>
            <w:r>
              <w:t xml:space="preserve"> </w:t>
            </w:r>
            <w:r>
              <w:rPr>
                <w:b/>
                <w:bCs/>
              </w:rPr>
              <w:t xml:space="preserve">seulement</w:t>
            </w:r>
            <w:r>
              <w:t xml:space="preserve"> </w:t>
            </w:r>
            <w:r>
              <w:t xml:space="preserve">via le secours</w:t>
            </w:r>
          </w:p>
        </w:tc>
        <w:tc>
          <w:tcPr/>
          <w:p>
            <w:pPr>
              <w:pStyle w:val="Compact"/>
            </w:pPr>
            <w:r>
              <w:t xml:space="preserve">TLS ; no-train</w:t>
            </w:r>
          </w:p>
        </w:tc>
        <w:tc>
          <w:tcPr/>
          <w:p>
            <w:pPr>
              <w:pStyle w:val="Compact"/>
            </w:pPr>
            <w:r>
              <w:t xml:space="preserve">Le temps de l'inférence</w:t>
            </w:r>
          </w:p>
        </w:tc>
      </w:tr>
      <w:tr>
        <w:tc>
          <w:tcPr/>
          <w:p>
            <w:pPr>
              <w:pStyle w:val="Compact"/>
            </w:pPr>
            <w:r>
              <w:t xml:space="preserve">Sortie</w:t>
            </w:r>
          </w:p>
        </w:tc>
        <w:tc>
          <w:tcPr/>
          <w:p>
            <w:pPr>
              <w:pStyle w:val="Compact"/>
            </w:pPr>
            <w:r>
              <w:t xml:space="preserve">Conservée dans le tenant (éditable, validée par un humain)</w:t>
            </w:r>
          </w:p>
        </w:tc>
        <w:tc>
          <w:tcPr/>
          <w:p>
            <w:pPr>
              <w:pStyle w:val="Compact"/>
            </w:pPr>
            <w:r>
              <w:t xml:space="preserve">PostgreSQL (tenant)</w:t>
            </w:r>
          </w:p>
        </w:tc>
        <w:tc>
          <w:tcPr/>
          <w:p>
            <w:pPr>
              <w:pStyle w:val="Compact"/>
            </w:pPr>
            <w:r>
              <w:t xml:space="preserve">Au repos (voir §1)</w:t>
            </w:r>
          </w:p>
        </w:tc>
        <w:tc>
          <w:tcPr/>
          <w:p>
            <w:pPr>
              <w:pStyle w:val="Compact"/>
            </w:pPr>
            <w:r>
              <w:t xml:space="preserve">Durée paramétrée / durée du contrat</w:t>
            </w:r>
          </w:p>
        </w:tc>
      </w:tr>
      <w:tr>
        <w:tc>
          <w:tcPr/>
          <w:p>
            <w:pPr>
              <w:pStyle w:val="Compact"/>
            </w:pPr>
            <w:r>
              <w:t xml:space="preserve">Côté fournisseur</w:t>
            </w:r>
          </w:p>
        </w:tc>
        <w:tc>
          <w:tcPr/>
          <w:p>
            <w:pPr>
              <w:pStyle w:val="Compact"/>
            </w:pPr>
            <w:r>
              <w:t xml:space="preserve">Voie primaire : aucun tiers ; secours : pas de stockage durable, pas d'entraînement</w:t>
            </w:r>
          </w:p>
        </w:tc>
        <w:tc>
          <w:tcPr/>
          <w:p>
            <w:pPr>
              <w:pStyle w:val="Compact"/>
            </w:pPr>
            <w:r>
              <w:t xml:space="preserve">UE (voie primaire) ; US/UE selon modèle (secours)</w:t>
            </w:r>
          </w:p>
        </w:tc>
        <w:tc>
          <w:tcPr/>
          <w:p>
            <w:pPr>
              <w:pStyle w:val="Compact"/>
            </w:pPr>
            <w:r>
              <w:t xml:space="preserve">Selon DPA fournisseur (secours)</w:t>
            </w:r>
          </w:p>
        </w:tc>
        <w:tc>
          <w:tcPr/>
          <w:p>
            <w:pPr>
              <w:pStyle w:val="Compact"/>
            </w:pPr>
            <w:r>
              <w:t xml:space="preserve">[À COMPLÉTER : rétention exacte par fournisseur]</w:t>
            </w:r>
          </w:p>
        </w:tc>
      </w:tr>
    </w:tbl>
    <w:bookmarkEnd w:id="65"/>
    <w:bookmarkStart w:id="66" w:name="X11292ab5bd72f4d399359c76ca524b5506db9c0"/>
    <w:p>
      <w:pPr>
        <w:pStyle w:val="Heading3"/>
      </w:pPr>
      <w:r>
        <w:t xml:space="preserve">2.5 Données temporaires (embeddings vocaux en RAM, fichiers temporaires de traitement)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Étape</w:t>
            </w:r>
          </w:p>
        </w:tc>
        <w:tc>
          <w:tcPr/>
          <w:p>
            <w:pPr>
              <w:pStyle w:val="Compact"/>
            </w:pPr>
            <w:r>
              <w:t xml:space="preserve">Acteur / composant</w:t>
            </w:r>
          </w:p>
        </w:tc>
        <w:tc>
          <w:tcPr/>
          <w:p>
            <w:pPr>
              <w:pStyle w:val="Compact"/>
            </w:pPr>
            <w:r>
              <w:t xml:space="preserve">Localisation</w:t>
            </w:r>
          </w:p>
        </w:tc>
        <w:tc>
          <w:tcPr/>
          <w:p>
            <w:pPr>
              <w:pStyle w:val="Compact"/>
            </w:pPr>
            <w:r>
              <w:t xml:space="preserve">Chiffrement</w:t>
            </w:r>
          </w:p>
        </w:tc>
        <w:tc>
          <w:tcPr/>
          <w:p>
            <w:pPr>
              <w:pStyle w:val="Compact"/>
            </w:pPr>
            <w:r>
              <w:t xml:space="preserve">Durée à l'étape</w:t>
            </w:r>
          </w:p>
        </w:tc>
      </w:tr>
      <w:tr>
        <w:tc>
          <w:tcPr/>
          <w:p>
            <w:pPr>
              <w:pStyle w:val="Compact"/>
            </w:pPr>
            <w:r>
              <w:t xml:space="preserve">Calcul</w:t>
            </w:r>
          </w:p>
        </w:tc>
        <w:tc>
          <w:tcPr/>
          <w:p>
            <w:pPr>
              <w:pStyle w:val="Compact"/>
            </w:pPr>
            <w:r>
              <w:t xml:space="preserve">Worker (diarisation / corrélation vocale)</w:t>
            </w:r>
          </w:p>
        </w:tc>
        <w:tc>
          <w:tcPr/>
          <w:p>
            <w:pPr>
              <w:pStyle w:val="Compact"/>
            </w:pPr>
            <w:r>
              <w:t xml:space="preserve">Mémoire vive (RAM),</w:t>
            </w:r>
            <w:r>
              <w:t xml:space="preserve"> </w:t>
            </w:r>
            <w:r>
              <w:rPr>
                <w:rStyle w:val="VerbatimChar"/>
              </w:rPr>
              <w:t xml:space="preserve">tmpfs</w:t>
            </w:r>
            <w:r>
              <w:t xml:space="preserve"> </w:t>
            </w:r>
            <w:r>
              <w:t xml:space="preserve">lorsque possible</w:t>
            </w:r>
          </w:p>
        </w:tc>
        <w:tc>
          <w:tcPr/>
          <w:p>
            <w:pPr>
              <w:pStyle w:val="Compact"/>
            </w:pPr>
            <w:r>
              <w:t xml:space="preserve">— (jamais externalisé)</w:t>
            </w:r>
          </w:p>
        </w:tc>
        <w:tc>
          <w:tcPr/>
          <w:p>
            <w:pPr>
              <w:pStyle w:val="Compact"/>
            </w:pPr>
            <w:r>
              <w:t xml:space="preserve">Durée de la requête uniquement</w:t>
            </w:r>
          </w:p>
        </w:tc>
      </w:tr>
      <w:tr>
        <w:tc>
          <w:tcPr/>
          <w:p>
            <w:pPr>
              <w:pStyle w:val="Compact"/>
            </w:pPr>
            <w:r>
              <w:t xml:space="preserve">Nettoyage</w:t>
            </w:r>
          </w:p>
        </w:tc>
        <w:tc>
          <w:tcPr/>
          <w:p>
            <w:pPr>
              <w:pStyle w:val="Compact"/>
            </w:pPr>
            <w:r>
              <w:t xml:space="preserve">Destruction en fin de traitement (bloc</w:t>
            </w:r>
            <w:r>
              <w:t xml:space="preserve"> </w:t>
            </w:r>
            <w:r>
              <w:rPr>
                <w:rStyle w:val="VerbatimChar"/>
              </w:rPr>
              <w:t xml:space="preserve">finally</w:t>
            </w:r>
            <w:r>
              <w:t xml:space="preserve">)</w:t>
            </w:r>
          </w:p>
        </w:tc>
        <w:tc>
          <w:tcPr/>
          <w:p>
            <w:pPr>
              <w:pStyle w:val="Compact"/>
            </w:pPr>
            <w:r>
              <w:t xml:space="preserve">—</w:t>
            </w:r>
          </w:p>
        </w:tc>
        <w:tc>
          <w:tcPr/>
          <w:p>
            <w:pPr>
              <w:pStyle w:val="Compact"/>
            </w:pPr>
            <w:r>
              <w:t xml:space="preserve">—</w:t>
            </w:r>
          </w:p>
        </w:tc>
        <w:tc>
          <w:tcPr/>
          <w:p>
            <w:pPr>
              <w:pStyle w:val="Compact"/>
            </w:pPr>
            <w:r>
              <w:t xml:space="preserve">Détruit ; aucun gabarit persistant</w:t>
            </w:r>
          </w:p>
        </w:tc>
      </w:tr>
      <w:tr>
        <w:tc>
          <w:tcPr/>
          <w:p>
            <w:pPr>
              <w:pStyle w:val="Compact"/>
            </w:pPr>
            <w:r>
              <w:t xml:space="preserve">Fichiers temporaires</w:t>
            </w:r>
          </w:p>
        </w:tc>
        <w:tc>
          <w:tcPr/>
          <w:p>
            <w:pPr>
              <w:pStyle w:val="Compact"/>
            </w:pPr>
            <w:r>
              <w:t xml:space="preserve">Espaces temporaires contrôlés</w:t>
            </w:r>
          </w:p>
        </w:tc>
        <w:tc>
          <w:tcPr/>
          <w:p>
            <w:pPr>
              <w:pStyle w:val="Compact"/>
            </w:pPr>
            <w:r>
              <w:t xml:space="preserve">GPU/worker</w:t>
            </w:r>
          </w:p>
        </w:tc>
        <w:tc>
          <w:tcPr/>
          <w:p>
            <w:pPr>
              <w:pStyle w:val="Compact"/>
            </w:pPr>
            <w:r>
              <w:t xml:space="preserve">—</w:t>
            </w:r>
          </w:p>
        </w:tc>
        <w:tc>
          <w:tcPr/>
          <w:p>
            <w:pPr>
              <w:pStyle w:val="Compact"/>
            </w:pPr>
            <w:r>
              <w:t xml:space="preserve">Supprimés à l'issue du job</w:t>
            </w:r>
          </w:p>
        </w:tc>
      </w:tr>
    </w:tbl>
    <w:p>
      <w:pPr>
        <w:pStyle w:val="BlockText"/>
      </w:pPr>
      <w:r>
        <w:t xml:space="preserve">Les embeddings vocaux ne sont</w:t>
      </w:r>
      <w:r>
        <w:t xml:space="preserve"> </w:t>
      </w:r>
      <w:r>
        <w:rPr>
          <w:b/>
          <w:bCs/>
        </w:rPr>
        <w:t xml:space="preserve">jamais</w:t>
      </w:r>
      <w:r>
        <w:t xml:space="preserve"> </w:t>
      </w:r>
      <w:r>
        <w:t xml:space="preserve">conservés comme profils persistants, ne sont</w:t>
      </w:r>
      <w:r>
        <w:t xml:space="preserve"> </w:t>
      </w:r>
      <w:r>
        <w:rPr>
          <w:b/>
          <w:bCs/>
        </w:rPr>
        <w:t xml:space="preserve">jamais</w:t>
      </w:r>
      <w:r>
        <w:t xml:space="preserve"> </w:t>
      </w:r>
      <w:r>
        <w:t xml:space="preserve">utilisés pour entraîner des modèles, et ne quittent pas l'environnement de traitement. Détail au document OHA-RGPD-07.</w:t>
      </w:r>
    </w:p>
    <w:bookmarkEnd w:id="66"/>
    <w:bookmarkStart w:id="67" w:name="Xaae710b518c07f6e514c289b6fa23ddd1b46e32"/>
    <w:p>
      <w:pPr>
        <w:pStyle w:val="Heading3"/>
      </w:pPr>
      <w:r>
        <w:t xml:space="preserve">2.6 Journaux (logs d'audit applicatifs, logs techniques)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Étape</w:t>
            </w:r>
          </w:p>
        </w:tc>
        <w:tc>
          <w:tcPr/>
          <w:p>
            <w:pPr>
              <w:pStyle w:val="Compact"/>
            </w:pPr>
            <w:r>
              <w:t xml:space="preserve">Acteur / composant</w:t>
            </w:r>
          </w:p>
        </w:tc>
        <w:tc>
          <w:tcPr/>
          <w:p>
            <w:pPr>
              <w:pStyle w:val="Compact"/>
            </w:pPr>
            <w:r>
              <w:t xml:space="preserve">Localisation</w:t>
            </w:r>
          </w:p>
        </w:tc>
        <w:tc>
          <w:tcPr/>
          <w:p>
            <w:pPr>
              <w:pStyle w:val="Compact"/>
            </w:pPr>
            <w:r>
              <w:t xml:space="preserve">Chiffrement</w:t>
            </w:r>
          </w:p>
        </w:tc>
        <w:tc>
          <w:tcPr/>
          <w:p>
            <w:pPr>
              <w:pStyle w:val="Compact"/>
            </w:pPr>
            <w:r>
              <w:t xml:space="preserve">Durée à l'étape</w:t>
            </w:r>
          </w:p>
        </w:tc>
      </w:tr>
      <w:tr>
        <w:tc>
          <w:tcPr/>
          <w:p>
            <w:pPr>
              <w:pStyle w:val="Compact"/>
            </w:pPr>
            <w:r>
              <w:t xml:space="preserve">Génération</w:t>
            </w:r>
          </w:p>
        </w:tc>
        <w:tc>
          <w:tcPr/>
          <w:p>
            <w:pPr>
              <w:pStyle w:val="Compact"/>
            </w:pPr>
            <w:r>
              <w:t xml:space="preserve">Application (</w:t>
            </w:r>
            <w:r>
              <w:rPr>
                <w:rStyle w:val="VerbatimChar"/>
              </w:rPr>
              <w:t xml:space="preserve">activity_logs</w:t>
            </w:r>
            <w:r>
              <w:t xml:space="preserve"> </w:t>
            </w:r>
            <w:r>
              <w:t xml:space="preserve">par tenant ;</w:t>
            </w:r>
            <w:r>
              <w:t xml:space="preserve"> </w:t>
            </w:r>
            <w:r>
              <w:rPr>
                <w:rStyle w:val="VerbatimChar"/>
              </w:rPr>
              <w:t xml:space="preserve">public.audit_logs</w:t>
            </w:r>
            <w:r>
              <w:t xml:space="preserve"> </w:t>
            </w:r>
            <w:r>
              <w:t xml:space="preserve">plateforme)</w:t>
            </w:r>
          </w:p>
        </w:tc>
        <w:tc>
          <w:tcPr/>
          <w:p>
            <w:pPr>
              <w:pStyle w:val="Compact"/>
            </w:pPr>
            <w:r>
              <w:t xml:space="preserve">Serveur prod / infra client</w:t>
            </w:r>
          </w:p>
        </w:tc>
        <w:tc>
          <w:tcPr/>
          <w:p>
            <w:pPr>
              <w:pStyle w:val="Compact"/>
            </w:pPr>
            <w:r>
              <w:t xml:space="preserve">Au repos (voir §1)</w:t>
            </w:r>
          </w:p>
        </w:tc>
        <w:tc>
          <w:tcPr/>
          <w:p>
            <w:pPr>
              <w:pStyle w:val="Compact"/>
            </w:pPr>
            <w:r>
              <w:t xml:space="preserve">—</w:t>
            </w:r>
          </w:p>
        </w:tc>
      </w:tr>
      <w:tr>
        <w:tc>
          <w:tcPr/>
          <w:p>
            <w:pPr>
              <w:pStyle w:val="Compact"/>
            </w:pPr>
            <w:r>
              <w:t xml:space="preserve">Stockage</w:t>
            </w:r>
          </w:p>
        </w:tc>
        <w:tc>
          <w:tcPr/>
          <w:p>
            <w:pPr>
              <w:pStyle w:val="Compact"/>
            </w:pPr>
            <w:r>
              <w:t xml:space="preserve">PostgreSQL</w:t>
            </w:r>
          </w:p>
        </w:tc>
        <w:tc>
          <w:tcPr/>
          <w:p>
            <w:pPr>
              <w:pStyle w:val="Compact"/>
            </w:pPr>
            <w:r>
              <w:t xml:space="preserve">Serveur prod / infra client</w:t>
            </w:r>
          </w:p>
        </w:tc>
        <w:tc>
          <w:tcPr/>
          <w:p>
            <w:pPr>
              <w:pStyle w:val="Compact"/>
            </w:pPr>
            <w:r>
              <w:t xml:space="preserve">Au repos (voir §1)</w:t>
            </w:r>
          </w:p>
        </w:tc>
        <w:tc>
          <w:tcPr/>
          <w:p>
            <w:pPr>
              <w:pStyle w:val="Compact"/>
            </w:pPr>
            <w:r>
              <w:t xml:space="preserve">Audit ≤ 12 mois ; technique ~90 j</w:t>
            </w:r>
          </w:p>
        </w:tc>
      </w:tr>
      <w:tr>
        <w:tc>
          <w:tcPr/>
          <w:p>
            <w:pPr>
              <w:pStyle w:val="Compact"/>
            </w:pPr>
            <w:r>
              <w:t xml:space="preserve">Export</w:t>
            </w:r>
          </w:p>
        </w:tc>
        <w:tc>
          <w:tcPr/>
          <w:p>
            <w:pPr>
              <w:pStyle w:val="Compact"/>
            </w:pPr>
            <w:r>
              <w:t xml:space="preserve">CSV / JSON sur demande</w:t>
            </w:r>
          </w:p>
        </w:tc>
        <w:tc>
          <w:tcPr/>
          <w:p>
            <w:pPr>
              <w:pStyle w:val="Compact"/>
            </w:pPr>
            <w:r>
              <w:t xml:space="preserve">Serveur prod / infra client</w:t>
            </w:r>
          </w:p>
        </w:tc>
        <w:tc>
          <w:tcPr/>
          <w:p>
            <w:pPr>
              <w:pStyle w:val="Compact"/>
            </w:pPr>
            <w:r>
              <w:t xml:space="preserve">TLS</w:t>
            </w:r>
          </w:p>
        </w:tc>
        <w:tc>
          <w:tcPr/>
          <w:p>
            <w:pPr>
              <w:pStyle w:val="Compact"/>
            </w:pPr>
            <w:r>
              <w:t xml:space="preserve">À la demande</w:t>
            </w:r>
          </w:p>
        </w:tc>
      </w:tr>
    </w:tbl>
    <w:p>
      <w:pPr>
        <w:pStyle w:val="BlockText"/>
      </w:pPr>
      <w:r>
        <w:t xml:space="preserve">Les journaux ne contiennent pas d'embeddings vocaux persistants ; les traces liées à la corrélation vocale sont réduites aux informations techniques nécessaires.</w:t>
      </w:r>
    </w:p>
    <w:bookmarkEnd w:id="67"/>
    <w:bookmarkStart w:id="68" w:name="Xfaf7cc6e7748c9667d39039c6e4f994cae43f5a"/>
    <w:p>
      <w:pPr>
        <w:pStyle w:val="Heading3"/>
      </w:pPr>
      <w:r>
        <w:t xml:space="preserve">2.7 Sauvegardes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Étape</w:t>
            </w:r>
          </w:p>
        </w:tc>
        <w:tc>
          <w:tcPr/>
          <w:p>
            <w:pPr>
              <w:pStyle w:val="Compact"/>
            </w:pPr>
            <w:r>
              <w:t xml:space="preserve">Acteur / composant</w:t>
            </w:r>
          </w:p>
        </w:tc>
        <w:tc>
          <w:tcPr/>
          <w:p>
            <w:pPr>
              <w:pStyle w:val="Compact"/>
            </w:pPr>
            <w:r>
              <w:t xml:space="preserve">Localisation</w:t>
            </w:r>
          </w:p>
        </w:tc>
        <w:tc>
          <w:tcPr/>
          <w:p>
            <w:pPr>
              <w:pStyle w:val="Compact"/>
            </w:pPr>
            <w:r>
              <w:t xml:space="preserve">Chiffrement</w:t>
            </w:r>
          </w:p>
        </w:tc>
        <w:tc>
          <w:tcPr/>
          <w:p>
            <w:pPr>
              <w:pStyle w:val="Compact"/>
            </w:pPr>
            <w:r>
              <w:t xml:space="preserve">Durée à l'étape</w:t>
            </w:r>
          </w:p>
        </w:tc>
      </w:tr>
      <w:tr>
        <w:tc>
          <w:tcPr/>
          <w:p>
            <w:pPr>
              <w:pStyle w:val="Compact"/>
            </w:pPr>
            <w:r>
              <w:t xml:space="preserve">Constitution</w:t>
            </w:r>
          </w:p>
        </w:tc>
        <w:tc>
          <w:tcPr/>
          <w:p>
            <w:pPr>
              <w:pStyle w:val="Compact"/>
            </w:pPr>
            <w:r>
              <w:t xml:space="preserve">Script de sauvegarde quotidien</w:t>
            </w:r>
          </w:p>
        </w:tc>
        <w:tc>
          <w:tcPr/>
          <w:p>
            <w:pPr>
              <w:pStyle w:val="Compact"/>
            </w:pPr>
            <w:r>
              <w:t xml:space="preserve">Serveur prod (Opt. A)</w:t>
            </w:r>
          </w:p>
        </w:tc>
        <w:tc>
          <w:tcPr/>
          <w:p>
            <w:pPr>
              <w:pStyle w:val="Compact"/>
            </w:pPr>
            <w:r>
              <w:t xml:space="preserve">Chiffrées avec age</w:t>
            </w:r>
            <w:r>
              <w:t xml:space="preserve"> </w:t>
            </w:r>
            <w:r>
              <w:rPr>
                <w:b/>
                <w:bCs/>
              </w:rPr>
              <w:t xml:space="preserve">avant</w:t>
            </w:r>
            <w:r>
              <w:t xml:space="preserve"> </w:t>
            </w:r>
            <w:r>
              <w:t xml:space="preserve">sortie du serveur</w:t>
            </w:r>
          </w:p>
        </w:tc>
        <w:tc>
          <w:tcPr/>
          <w:p>
            <w:pPr>
              <w:pStyle w:val="Compact"/>
            </w:pPr>
            <w:r>
              <w:t xml:space="preserve">—</w:t>
            </w:r>
          </w:p>
        </w:tc>
      </w:tr>
      <w:tr>
        <w:tc>
          <w:tcPr/>
          <w:p>
            <w:pPr>
              <w:pStyle w:val="Compact"/>
            </w:pPr>
            <w:r>
              <w:t xml:space="preserve">Externalisation</w:t>
            </w:r>
          </w:p>
        </w:tc>
        <w:tc>
          <w:tcPr/>
          <w:p>
            <w:pPr>
              <w:pStyle w:val="Compact"/>
            </w:pPr>
            <w:r>
              <w:t xml:space="preserve">rclone</w:t>
            </w:r>
          </w:p>
        </w:tc>
        <w:tc>
          <w:tcPr/>
          <w:p>
            <w:pPr>
              <w:pStyle w:val="Compact"/>
            </w:pPr>
            <w:r>
              <w:t xml:space="preserve">Scaleway (France, UE)</w:t>
            </w:r>
          </w:p>
        </w:tc>
        <w:tc>
          <w:tcPr/>
          <w:p>
            <w:pPr>
              <w:pStyle w:val="Compact"/>
            </w:pPr>
            <w:r>
              <w:t xml:space="preserve">age (clés détenues par OHADJA, en UE)</w:t>
            </w:r>
          </w:p>
        </w:tc>
        <w:tc>
          <w:tcPr/>
          <w:p>
            <w:pPr>
              <w:pStyle w:val="Compact"/>
            </w:pPr>
            <w:r>
              <w:t xml:space="preserve">≤ 90 j complètes / 30 j par organisation</w:t>
            </w:r>
          </w:p>
        </w:tc>
      </w:tr>
      <w:tr>
        <w:tc>
          <w:tcPr/>
          <w:p>
            <w:pPr>
              <w:pStyle w:val="Compact"/>
            </w:pPr>
            <w:r>
              <w:t xml:space="preserve">Restauration</w:t>
            </w:r>
          </w:p>
        </w:tc>
        <w:tc>
          <w:tcPr/>
          <w:p>
            <w:pPr>
              <w:pStyle w:val="Compact"/>
            </w:pPr>
            <w:r>
              <w:t xml:space="preserve">Snapshot de sécurité préalable, restauration granulaire par organisation</w:t>
            </w:r>
          </w:p>
        </w:tc>
        <w:tc>
          <w:tcPr/>
          <w:p>
            <w:pPr>
              <w:pStyle w:val="Compact"/>
            </w:pPr>
            <w:r>
              <w:t xml:space="preserve">Serveur prod</w:t>
            </w:r>
          </w:p>
        </w:tc>
        <w:tc>
          <w:tcPr/>
          <w:p>
            <w:pPr>
              <w:pStyle w:val="Compact"/>
            </w:pPr>
            <w:r>
              <w:t xml:space="preserve">age</w:t>
            </w:r>
          </w:p>
        </w:tc>
        <w:tc>
          <w:tcPr/>
          <w:p>
            <w:pPr>
              <w:pStyle w:val="Compact"/>
            </w:pPr>
            <w:r>
              <w:t xml:space="preserve">RPO 24 h / RTO 4 h (objectifs)</w:t>
            </w:r>
          </w:p>
        </w:tc>
      </w:tr>
    </w:tbl>
    <w:p>
      <w:pPr>
        <w:pStyle w:val="BlockText"/>
      </w:pPr>
      <w:r>
        <w:t xml:space="preserve">En</w:t>
      </w:r>
      <w:r>
        <w:t xml:space="preserve"> </w:t>
      </w:r>
      <w:r>
        <w:rPr>
          <w:b/>
          <w:bCs/>
        </w:rPr>
        <w:t xml:space="preserve">Option B</w:t>
      </w:r>
      <w:r>
        <w:t xml:space="preserve">, les sauvegardes relèvent de l'infrastructure du Client (sauf mission confiée à OHADJA).</w:t>
      </w:r>
    </w:p>
    <w:bookmarkEnd w:id="68"/>
    <w:bookmarkEnd w:id="69"/>
    <w:bookmarkStart w:id="72" w:name="X6e2315e5940ab18972c59a7762a6a5d0278e4dc"/>
    <w:p>
      <w:pPr>
        <w:pStyle w:val="Heading2"/>
      </w:pPr>
      <w:r>
        <w:t xml:space="preserve">3. Accès humains et techniques</w:t>
      </w:r>
    </w:p>
    <w:bookmarkStart w:id="70" w:name="X41980a5c9b489c761337874c0d6746a45d0b2fd"/>
    <w:p>
      <w:pPr>
        <w:pStyle w:val="Heading3"/>
      </w:pPr>
      <w:r>
        <w:t xml:space="preserve">3.1 Tableau des accès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Acteur / entité</w:t>
            </w:r>
          </w:p>
        </w:tc>
        <w:tc>
          <w:tcPr/>
          <w:p>
            <w:pPr>
              <w:pStyle w:val="Compact"/>
            </w:pPr>
            <w:r>
              <w:t xml:space="preserve">Nature de l'accès</w:t>
            </w:r>
          </w:p>
        </w:tc>
        <w:tc>
          <w:tcPr/>
          <w:p>
            <w:pPr>
              <w:pStyle w:val="Compact"/>
            </w:pPr>
            <w:r>
              <w:t xml:space="preserve">Depuis où</w:t>
            </w:r>
          </w:p>
        </w:tc>
        <w:tc>
          <w:tcPr/>
          <w:p>
            <w:pPr>
              <w:pStyle w:val="Compact"/>
            </w:pPr>
            <w:r>
              <w:t xml:space="preserve">Encadrement</w:t>
            </w:r>
          </w:p>
        </w:tc>
        <w:tc>
          <w:tcPr/>
          <w:p>
            <w:pPr>
              <w:pStyle w:val="Compact"/>
            </w:pPr>
            <w:r>
              <w:t xml:space="preserve">Accès au contenu ?</w:t>
            </w:r>
          </w:p>
        </w:tc>
      </w:tr>
      <w:tr>
        <w:tc>
          <w:tcPr/>
          <w:p>
            <w:pPr>
              <w:pStyle w:val="Compact"/>
            </w:pPr>
            <w:r>
              <w:rPr>
                <w:b/>
                <w:bCs/>
              </w:rPr>
              <w:t xml:space="preserve">Personnel OHADJA</w:t>
            </w:r>
          </w:p>
        </w:tc>
        <w:tc>
          <w:tcPr/>
          <w:p>
            <w:pPr>
              <w:pStyle w:val="Compact"/>
            </w:pPr>
            <w:r>
              <w:t xml:space="preserve">Exploitation, support, sécurité</w:t>
            </w:r>
          </w:p>
        </w:tc>
        <w:tc>
          <w:tcPr/>
          <w:p>
            <w:pPr>
              <w:pStyle w:val="Compact"/>
            </w:pPr>
            <w:r>
              <w:rPr>
                <w:b/>
                <w:bCs/>
              </w:rPr>
              <w:t xml:space="preserve">France / UE</w:t>
            </w:r>
            <w:r>
              <w:t xml:space="preserve"> </w:t>
            </w:r>
            <w:r>
              <w:t xml:space="preserve">(engagement d'accès exclusivement France/UE)</w:t>
            </w:r>
          </w:p>
        </w:tc>
        <w:tc>
          <w:tcPr/>
          <w:p>
            <w:pPr>
              <w:pStyle w:val="Compact"/>
            </w:pPr>
            <w:r>
              <w:t xml:space="preserve">Nominatif, clé SSH, 2FA TOTP, TLS, journalisé,</w:t>
            </w:r>
            <w:r>
              <w:t xml:space="preserve"> </w:t>
            </w:r>
            <w:r>
              <w:rPr>
                <w:b/>
                <w:bCs/>
              </w:rPr>
              <w:t xml:space="preserve">aucune copie locale</w:t>
            </w:r>
          </w:p>
        </w:tc>
        <w:tc>
          <w:tcPr/>
          <w:p>
            <w:pPr>
              <w:pStyle w:val="Compact"/>
            </w:pPr>
            <w:r>
              <w:t xml:space="preserve">Oui, dans la limite du besoin d'en connaître</w:t>
            </w:r>
          </w:p>
        </w:tc>
      </w:tr>
      <w:tr>
        <w:tc>
          <w:tcPr/>
          <w:p>
            <w:pPr>
              <w:pStyle w:val="Compact"/>
            </w:pPr>
            <w:r>
              <w:rPr>
                <w:b/>
                <w:bCs/>
              </w:rPr>
              <w:t xml:space="preserve">AMBASSADIA SARL</w:t>
            </w:r>
            <w:r>
              <w:t xml:space="preserve"> </w:t>
            </w:r>
            <w:r>
              <w:t xml:space="preserve">(revendeur)</w:t>
            </w:r>
          </w:p>
        </w:tc>
        <w:tc>
          <w:tcPr/>
          <w:p>
            <w:pPr>
              <w:pStyle w:val="Compact"/>
            </w:pPr>
            <w:r>
              <w:t xml:space="preserve">—</w:t>
            </w:r>
          </w:p>
        </w:tc>
        <w:tc>
          <w:tcPr/>
          <w:p>
            <w:pPr>
              <w:pStyle w:val="Compact"/>
            </w:pPr>
            <w:r>
              <w:t xml:space="preserve">—</w:t>
            </w:r>
          </w:p>
        </w:tc>
        <w:tc>
          <w:tcPr/>
          <w:p>
            <w:pPr>
              <w:pStyle w:val="Compact"/>
            </w:pPr>
            <w:r>
              <w:t xml:space="preserve">Aucun accès à la production (rôle commercial de revendeur)</w:t>
            </w:r>
          </w:p>
        </w:tc>
        <w:tc>
          <w:tcPr/>
          <w:p>
            <w:pPr>
              <w:pStyle w:val="Compact"/>
            </w:pPr>
            <w:r>
              <w:rPr>
                <w:b/>
                <w:bCs/>
              </w:rPr>
              <w:t xml:space="preserve">Non</w:t>
            </w:r>
          </w:p>
        </w:tc>
      </w:tr>
      <w:tr>
        <w:tc>
          <w:tcPr/>
          <w:p>
            <w:pPr>
              <w:pStyle w:val="Compact"/>
            </w:pPr>
            <w:r>
              <w:rPr>
                <w:b/>
                <w:bCs/>
              </w:rPr>
              <w:t xml:space="preserve">votre intégrateur / revendeur</w:t>
            </w:r>
          </w:p>
        </w:tc>
        <w:tc>
          <w:tcPr/>
          <w:p>
            <w:pPr>
              <w:pStyle w:val="Compact"/>
            </w:pPr>
            <w:r>
              <w:t xml:space="preserve">—</w:t>
            </w:r>
          </w:p>
        </w:tc>
        <w:tc>
          <w:tcPr/>
          <w:p>
            <w:pPr>
              <w:pStyle w:val="Compact"/>
            </w:pPr>
            <w:r>
              <w:t xml:space="preserve">—</w:t>
            </w:r>
          </w:p>
        </w:tc>
        <w:tc>
          <w:tcPr/>
          <w:p>
            <w:pPr>
              <w:pStyle w:val="Compact"/>
            </w:pPr>
            <w:r>
              <w:t xml:space="preserve">Aucun accès à la production ; rôle d'admin sur l'environnement de</w:t>
            </w:r>
            <w:r>
              <w:t xml:space="preserve"> </w:t>
            </w:r>
            <w:r>
              <w:rPr>
                <w:b/>
                <w:bCs/>
              </w:rPr>
              <w:t xml:space="preserve">démonstration</w:t>
            </w:r>
            <w:r>
              <w:t xml:space="preserve"> </w:t>
            </w:r>
            <w:r>
              <w:t xml:space="preserve">uniquement</w:t>
            </w:r>
          </w:p>
        </w:tc>
        <w:tc>
          <w:tcPr/>
          <w:p>
            <w:pPr>
              <w:pStyle w:val="Compact"/>
            </w:pPr>
            <w:r>
              <w:rPr>
                <w:b/>
                <w:bCs/>
              </w:rPr>
              <w:t xml:space="preserve">Non</w:t>
            </w:r>
            <w:r>
              <w:t xml:space="preserve"> </w:t>
            </w:r>
            <w:r>
              <w:t xml:space="preserve">(ni audio ni transcriptions)</w:t>
            </w:r>
          </w:p>
        </w:tc>
      </w:tr>
      <w:tr>
        <w:tc>
          <w:tcPr/>
          <w:p>
            <w:pPr>
              <w:pStyle w:val="Compact"/>
            </w:pPr>
            <w:r>
              <w:rPr>
                <w:b/>
                <w:bCs/>
              </w:rPr>
              <w:t xml:space="preserve">IA — voie primaire</w:t>
            </w:r>
            <w:r>
              <w:t xml:space="preserve"> </w:t>
            </w:r>
            <w:r>
              <w:t xml:space="preserve">(serveurs vLLM maîtrisés)</w:t>
            </w:r>
          </w:p>
        </w:tc>
        <w:tc>
          <w:tcPr/>
          <w:p>
            <w:pPr>
              <w:pStyle w:val="Compact"/>
            </w:pPr>
            <w:r>
              <w:t xml:space="preserve">Traitement</w:t>
            </w:r>
            <w:r>
              <w:t xml:space="preserve"> </w:t>
            </w:r>
            <w:r>
              <w:rPr>
                <w:b/>
                <w:bCs/>
              </w:rPr>
              <w:t xml:space="preserve">automatisé</w:t>
            </w:r>
            <w:r>
              <w:t xml:space="preserve"> </w:t>
            </w:r>
            <w:r>
              <w:t xml:space="preserve">sur serveurs maîtrisés par OHADJA</w:t>
            </w:r>
          </w:p>
        </w:tc>
        <w:tc>
          <w:tcPr/>
          <w:p>
            <w:pPr>
              <w:pStyle w:val="Compact"/>
            </w:pPr>
            <w:r>
              <w:rPr>
                <w:b/>
                <w:bCs/>
              </w:rPr>
              <w:t xml:space="preserve">UE — Strasbourg / Paris</w:t>
            </w:r>
          </w:p>
        </w:tc>
        <w:tc>
          <w:tcPr/>
          <w:p>
            <w:pPr>
              <w:pStyle w:val="Compact"/>
            </w:pPr>
            <w:r>
              <w:t xml:space="preserve">Modèles open-weights, aucun tiers, no-train</w:t>
            </w:r>
          </w:p>
        </w:tc>
        <w:tc>
          <w:tcPr/>
          <w:p>
            <w:pPr>
              <w:pStyle w:val="Compact"/>
            </w:pPr>
            <w:r>
              <w:t xml:space="preserve">Pas d'accès de tiers ; pas d'accès humain aux prompts</w:t>
            </w:r>
          </w:p>
        </w:tc>
      </w:tr>
      <w:tr>
        <w:tc>
          <w:tcPr/>
          <w:p>
            <w:pPr>
              <w:pStyle w:val="Compact"/>
            </w:pPr>
            <w:r>
              <w:rPr>
                <w:b/>
                <w:bCs/>
              </w:rPr>
              <w:t xml:space="preserve">IA — voie de secours</w:t>
            </w:r>
            <w:r>
              <w:t xml:space="preserve"> </w:t>
            </w:r>
            <w:r>
              <w:t xml:space="preserve">(OpenRouter, Anthropic, OpenAI…)</w:t>
            </w:r>
          </w:p>
        </w:tc>
        <w:tc>
          <w:tcPr/>
          <w:p>
            <w:pPr>
              <w:pStyle w:val="Compact"/>
            </w:pPr>
            <w:r>
              <w:t xml:space="preserve">Accès</w:t>
            </w:r>
            <w:r>
              <w:t xml:space="preserve"> </w:t>
            </w:r>
            <w:r>
              <w:rPr>
                <w:b/>
                <w:bCs/>
              </w:rPr>
              <w:t xml:space="preserve">technique automatisé</w:t>
            </w:r>
            <w:r>
              <w:t xml:space="preserve"> </w:t>
            </w:r>
            <w:r>
              <w:t xml:space="preserve">(inférence),</w:t>
            </w:r>
            <w:r>
              <w:t xml:space="preserve"> </w:t>
            </w:r>
            <w:r>
              <w:rPr>
                <w:b/>
                <w:bCs/>
              </w:rPr>
              <w:t xml:space="preserve">désactivable</w:t>
            </w:r>
          </w:p>
        </w:tc>
        <w:tc>
          <w:tcPr/>
          <w:p>
            <w:pPr>
              <w:pStyle w:val="Compact"/>
            </w:pPr>
            <w:r>
              <w:t xml:space="preserve">US/UE selon modèle</w:t>
            </w:r>
          </w:p>
        </w:tc>
        <w:tc>
          <w:tcPr/>
          <w:p>
            <w:pPr>
              <w:pStyle w:val="Compact"/>
            </w:pPr>
            <w:r>
              <w:t xml:space="preserve">no-train, pas de stockage durable, DPA fournisseur, CCT le cas échéant</w:t>
            </w:r>
          </w:p>
        </w:tc>
        <w:tc>
          <w:tcPr/>
          <w:p>
            <w:pPr>
              <w:pStyle w:val="Compact"/>
            </w:pPr>
            <w:r>
              <w:t xml:space="preserve">Accès machine aux prompts le temps de l'inférence ;</w:t>
            </w:r>
            <w:r>
              <w:t xml:space="preserve"> </w:t>
            </w:r>
            <w:r>
              <w:rPr>
                <w:b/>
                <w:bCs/>
              </w:rPr>
              <w:t xml:space="preserve">pas d'accès humain</w:t>
            </w:r>
            <w:r>
              <w:t xml:space="preserve"> </w:t>
            </w:r>
            <w:r>
              <w:t xml:space="preserve">côté OHADJA</w:t>
            </w:r>
          </w:p>
        </w:tc>
      </w:tr>
      <w:tr>
        <w:tc>
          <w:tcPr/>
          <w:p>
            <w:pPr>
              <w:pStyle w:val="Compact"/>
            </w:pPr>
            <w:r>
              <w:rPr>
                <w:b/>
                <w:bCs/>
              </w:rPr>
              <w:t xml:space="preserve">Hébergeur</w:t>
            </w:r>
            <w:r>
              <w:t xml:space="preserve"> </w:t>
            </w:r>
            <w:r>
              <w:t xml:space="preserve">(Hostinger)</w:t>
            </w:r>
          </w:p>
        </w:tc>
        <w:tc>
          <w:tcPr/>
          <w:p>
            <w:pPr>
              <w:pStyle w:val="Compact"/>
            </w:pPr>
            <w:r>
              <w:t xml:space="preserve">Hébergement physique</w:t>
            </w:r>
          </w:p>
        </w:tc>
        <w:tc>
          <w:tcPr/>
          <w:p>
            <w:pPr>
              <w:pStyle w:val="Compact"/>
            </w:pPr>
            <w:r>
              <w:t xml:space="preserve">Datacenter France</w:t>
            </w:r>
          </w:p>
        </w:tc>
        <w:tc>
          <w:tcPr/>
          <w:p>
            <w:pPr>
              <w:pStyle w:val="Compact"/>
            </w:pPr>
            <w:r>
              <w:t xml:space="preserve">Accès physique au datacenter uniquement ; chiffrement du disque selon l'offre du datacenter</w:t>
            </w:r>
          </w:p>
        </w:tc>
        <w:tc>
          <w:tcPr/>
          <w:p>
            <w:pPr>
              <w:pStyle w:val="Compact"/>
            </w:pPr>
            <w:r>
              <w:rPr>
                <w:b/>
                <w:bCs/>
              </w:rPr>
              <w:t xml:space="preserve">Non</w:t>
            </w:r>
            <w:r>
              <w:t xml:space="preserve"> </w:t>
            </w:r>
            <w:r>
              <w:t xml:space="preserve">(pas d'accès logique)</w:t>
            </w:r>
          </w:p>
        </w:tc>
      </w:tr>
      <w:tr>
        <w:tc>
          <w:tcPr/>
          <w:p>
            <w:pPr>
              <w:pStyle w:val="Compact"/>
            </w:pPr>
            <w:r>
              <w:rPr>
                <w:b/>
                <w:bCs/>
              </w:rPr>
              <w:t xml:space="preserve">Sauvegarde</w:t>
            </w:r>
            <w:r>
              <w:t xml:space="preserve"> </w:t>
            </w:r>
            <w:r>
              <w:t xml:space="preserve">(Scaleway)</w:t>
            </w:r>
          </w:p>
        </w:tc>
        <w:tc>
          <w:tcPr/>
          <w:p>
            <w:pPr>
              <w:pStyle w:val="Compact"/>
            </w:pPr>
            <w:r>
              <w:t xml:space="preserve">Stockage d'objets chiffrés</w:t>
            </w:r>
          </w:p>
        </w:tc>
        <w:tc>
          <w:tcPr/>
          <w:p>
            <w:pPr>
              <w:pStyle w:val="Compact"/>
            </w:pPr>
            <w:r>
              <w:t xml:space="preserve">France (UE)</w:t>
            </w:r>
          </w:p>
        </w:tc>
        <w:tc>
          <w:tcPr/>
          <w:p>
            <w:pPr>
              <w:pStyle w:val="Compact"/>
            </w:pPr>
            <w:r>
              <w:t xml:space="preserve">Données chiffrées age</w:t>
            </w:r>
            <w:r>
              <w:t xml:space="preserve"> </w:t>
            </w:r>
            <w:r>
              <w:rPr>
                <w:b/>
                <w:bCs/>
              </w:rPr>
              <w:t xml:space="preserve">avant</w:t>
            </w:r>
            <w:r>
              <w:t xml:space="preserve"> </w:t>
            </w:r>
            <w:r>
              <w:t xml:space="preserve">envoi, clés hors de leur portée</w:t>
            </w:r>
          </w:p>
        </w:tc>
        <w:tc>
          <w:tcPr/>
          <w:p>
            <w:pPr>
              <w:pStyle w:val="Compact"/>
            </w:pPr>
            <w:r>
              <w:rPr>
                <w:b/>
                <w:bCs/>
              </w:rPr>
              <w:t xml:space="preserve">Non</w:t>
            </w:r>
            <w:r>
              <w:t xml:space="preserve"> </w:t>
            </w:r>
            <w:r>
              <w:t xml:space="preserve">(données illisibles pour le prestataire)</w:t>
            </w:r>
          </w:p>
        </w:tc>
      </w:tr>
      <w:tr>
        <w:tc>
          <w:tcPr/>
          <w:p>
            <w:pPr>
              <w:pStyle w:val="Compact"/>
            </w:pPr>
            <w:r>
              <w:rPr>
                <w:b/>
                <w:bCs/>
              </w:rPr>
              <w:t xml:space="preserve">Transcription GPU</w:t>
            </w:r>
            <w:r>
              <w:t xml:space="preserve"> </w:t>
            </w:r>
            <w:r>
              <w:t xml:space="preserve">(GPU dédié / Vast.ai si activé)</w:t>
            </w:r>
          </w:p>
        </w:tc>
        <w:tc>
          <w:tcPr/>
          <w:p>
            <w:pPr>
              <w:pStyle w:val="Compact"/>
            </w:pPr>
            <w:r>
              <w:t xml:space="preserve">Traitement automatisé</w:t>
            </w:r>
          </w:p>
        </w:tc>
        <w:tc>
          <w:tcPr/>
          <w:p>
            <w:pPr>
              <w:pStyle w:val="Compact"/>
            </w:pPr>
            <w:r>
              <w:t xml:space="preserve">UE lorsque requis ; hors EEE possible via place de marché</w:t>
            </w:r>
          </w:p>
        </w:tc>
        <w:tc>
          <w:tcPr/>
          <w:p>
            <w:pPr>
              <w:pStyle w:val="Compact"/>
            </w:pPr>
            <w:r>
              <w:t xml:space="preserve">Suppression après le job</w:t>
            </w:r>
          </w:p>
        </w:tc>
        <w:tc>
          <w:tcPr/>
          <w:p>
            <w:pPr>
              <w:pStyle w:val="Compact"/>
            </w:pPr>
            <w:r>
              <w:rPr>
                <w:b/>
                <w:bCs/>
              </w:rPr>
              <w:t xml:space="preserve">Non</w:t>
            </w:r>
            <w:r>
              <w:t xml:space="preserve"> </w:t>
            </w:r>
            <w:r>
              <w:t xml:space="preserve">(traitement automatisé, pas d'accès humain)</w:t>
            </w:r>
          </w:p>
        </w:tc>
      </w:tr>
    </w:tbl>
    <w:bookmarkEnd w:id="70"/>
    <w:bookmarkStart w:id="71" w:name="Xa3064877aefcfc8385bf14f5b705943c6869bcf"/>
    <w:p>
      <w:pPr>
        <w:pStyle w:val="Heading3"/>
      </w:pPr>
      <w:r>
        <w:t xml:space="preserve">3.2 Accès hors EEE — traitement franc</w:t>
      </w:r>
    </w:p>
    <w:p>
      <w:pPr>
        <w:pStyle w:val="FirstParagraph"/>
      </w:pPr>
      <w:r>
        <w:t xml:space="preserve">En Option A, une seule catégorie de flux peut sortir de l'EEE, et elle est</w:t>
      </w:r>
      <w:r>
        <w:t xml:space="preserve"> </w:t>
      </w:r>
      <w:r>
        <w:rPr>
          <w:b/>
          <w:bCs/>
        </w:rPr>
        <w:t xml:space="preserve">technique (accès machine), non humaine</w:t>
      </w:r>
      <w:r>
        <w:t xml:space="preserve"> </w:t>
      </w:r>
      <w:r>
        <w:t xml:space="preserve">:</w:t>
      </w:r>
    </w:p>
    <w:p>
      <w:pPr>
        <w:pStyle w:val="Compact"/>
        <w:numPr>
          <w:ilvl w:val="0"/>
          <w:numId w:val="1018"/>
        </w:numPr>
      </w:pPr>
      <w:r>
        <w:rPr>
          <w:b/>
          <w:bCs/>
        </w:rPr>
        <w:t xml:space="preserve">Flux techniques IA en voie de secours.</w:t>
      </w:r>
      <w:r>
        <w:t xml:space="preserve"> </w:t>
      </w:r>
      <w:r>
        <w:t xml:space="preserve">La</w:t>
      </w:r>
      <w:r>
        <w:t xml:space="preserve"> </w:t>
      </w:r>
      <w:r>
        <w:rPr>
          <w:b/>
          <w:bCs/>
        </w:rPr>
        <w:t xml:space="preserve">voie IA primaire</w:t>
      </w:r>
      <w:r>
        <w:t xml:space="preserve"> </w:t>
      </w:r>
      <w:r>
        <w:t xml:space="preserve">(serveurs vLLM maîtrisés à Strasbourg / Paris)</w:t>
      </w:r>
      <w:r>
        <w:t xml:space="preserve"> </w:t>
      </w:r>
      <w:r>
        <w:rPr>
          <w:b/>
          <w:bCs/>
        </w:rPr>
        <w:t xml:space="preserve">ne génère aucun flux hors EEE</w:t>
      </w:r>
      <w:r>
        <w:t xml:space="preserve">. Un flux vers les</w:t>
      </w:r>
      <w:r>
        <w:t xml:space="preserve"> </w:t>
      </w:r>
      <w:r>
        <w:rPr>
          <w:b/>
          <w:bCs/>
        </w:rPr>
        <w:t xml:space="preserve">États-Unis</w:t>
      </w:r>
      <w:r>
        <w:t xml:space="preserve"> </w:t>
      </w:r>
      <w:r>
        <w:t xml:space="preserve">n'intervient que par la</w:t>
      </w:r>
      <w:r>
        <w:t xml:space="preserve"> </w:t>
      </w:r>
      <w:r>
        <w:rPr>
          <w:b/>
          <w:bCs/>
        </w:rPr>
        <w:t xml:space="preserve">voie de secours</w:t>
      </w:r>
      <w:r>
        <w:t xml:space="preserve"> </w:t>
      </w:r>
      <w:r>
        <w:t xml:space="preserve">OpenRouter (et les fournisseurs de modèles tels qu'Anthropic ou OpenAI), en cas d'indisponibilité de la voie primaire — cette voie de secours est</w:t>
      </w:r>
      <w:r>
        <w:t xml:space="preserve"> </w:t>
      </w:r>
      <w:r>
        <w:rPr>
          <w:b/>
          <w:bCs/>
        </w:rPr>
        <w:t xml:space="preserve">désactivable par organisation</w:t>
      </w:r>
      <w:r>
        <w:t xml:space="preserve">. Le calcul GPU via Vast.ai, lorsqu'il est activé, repose sur une place de marché</w:t>
      </w:r>
      <w:r>
        <w:t xml:space="preserve"> </w:t>
      </w:r>
      <w:r>
        <w:rPr>
          <w:b/>
          <w:bCs/>
        </w:rPr>
        <w:t xml:space="preserve">américaine</w:t>
      </w:r>
      <w:r>
        <w:t xml:space="preserve"> </w:t>
      </w:r>
      <w:r>
        <w:t xml:space="preserve">(les machines sont sélectionnées en UE lorsque requis). Ces flux sont encadrés (CCT, no-train, minimisation, pas de stockage durable) et détaillés au document</w:t>
      </w:r>
      <w:r>
        <w:t xml:space="preserve"> </w:t>
      </w:r>
      <w:r>
        <w:rPr>
          <w:b/>
          <w:bCs/>
        </w:rPr>
        <w:t xml:space="preserve">OHA-RGPD-04</w:t>
      </w:r>
      <w:r>
        <w:t xml:space="preserve">. Le profil « UE strict » (voie primaire seule / LLM UE ou auto-hébergé + GPU UE) permet de les supprimer.</w:t>
      </w:r>
    </w:p>
    <w:p>
      <w:pPr>
        <w:pStyle w:val="FirstParagraph"/>
      </w:pPr>
      <w:r>
        <w:rPr>
          <w:b/>
          <w:bCs/>
        </w:rPr>
        <w:t xml:space="preserve">Accès humains d'administration : France / UE uniquement.</w:t>
      </w:r>
      <w:r>
        <w:t xml:space="preserve"> </w:t>
      </w:r>
      <w:r>
        <w:t xml:space="preserve">L'administration et le support de la plateforme sont réalisés par OHADJA (établie à Paris)</w:t>
      </w:r>
      <w:r>
        <w:t xml:space="preserve"> </w:t>
      </w:r>
      <w:r>
        <w:rPr>
          <w:b/>
          <w:bCs/>
        </w:rPr>
        <w:t xml:space="preserve">exclusivement depuis la France / l'Union européenne</w:t>
      </w:r>
      <w:r>
        <w:t xml:space="preserve"> </w:t>
      </w:r>
      <w:r>
        <w:t xml:space="preserve">(engagement contractuel, voir OHA-RGPD-04). Aucun accès humain aux données de production n'a lieu depuis un pays tiers. Le groupe fondateur exerce par ailleurs une activité commerciale de revendeur incluant Monaco (AMBASSADIA SARL), mais</w:t>
      </w:r>
      <w:r>
        <w:t xml:space="preserve"> </w:t>
      </w:r>
      <w:r>
        <w:rPr>
          <w:b/>
          <w:bCs/>
        </w:rPr>
        <w:t xml:space="preserve">celle-ci n'emporte aucun accès aux données</w:t>
      </w:r>
      <w:r>
        <w:t xml:space="preserve"> </w:t>
      </w:r>
      <w:r>
        <w:t xml:space="preserve">: le sujet est traité et fermé par l'engagement d'accès France/UE.</w:t>
      </w:r>
    </w:p>
    <w:p>
      <w:pPr>
        <w:pStyle w:val="BodyText"/>
      </w:pPr>
      <w:r>
        <w:t xml:space="preserve">En</w:t>
      </w:r>
      <w:r>
        <w:t xml:space="preserve"> </w:t>
      </w:r>
      <w:r>
        <w:rPr>
          <w:b/>
          <w:bCs/>
        </w:rPr>
        <w:t xml:space="preserve">Option B isolée</w:t>
      </w:r>
      <w:r>
        <w:t xml:space="preserve">, aucun de ces accès n'existe : ni flux IA sortant, ni accès d'administration externe imposé.</w:t>
      </w:r>
    </w:p>
    <w:bookmarkEnd w:id="71"/>
    <w:bookmarkEnd w:id="72"/>
    <w:bookmarkStart w:id="76" w:name="X8b1f3ba40315acea0d3beb20e77272cc7a657cf"/>
    <w:p>
      <w:pPr>
        <w:pStyle w:val="Heading2"/>
      </w:pPr>
      <w:r>
        <w:t xml:space="preserve">4. Parcours de bout en bout d'un fichier audio (Option A)</w:t>
      </w:r>
    </w:p>
    <w:p>
      <w:pPr>
        <w:pStyle w:val="FirstParagraph"/>
      </w:pPr>
      <w:r>
        <w:drawing>
          <wp:inline>
            <wp:extent cx="5334000" cy="1105323"/>
            <wp:effectExtent b="0" l="0" r="0" t="0"/>
            <wp:docPr descr="Parcours d'un fichier audio" title="" id="74" name="Picture"/>
            <a:graphic>
              <a:graphicData uri="http://schemas.openxmlformats.org/drawingml/2006/picture">
                <pic:pic>
                  <pic:nvPicPr>
                    <pic:cNvPr descr="img/parcours-audio.png" id="75" name="Picture"/>
                    <pic:cNvPicPr>
                      <a:picLocks noChangeArrowheads="1" noChangeAspect="1"/>
                    </pic:cNvPicPr>
                  </pic:nvPicPr>
                  <pic:blipFill>
                    <a:blip r:embed="rId73"/>
                    <a:stretch>
                      <a:fillRect/>
                    </a:stretch>
                  </pic:blipFill>
                  <pic:spPr bwMode="auto">
                    <a:xfrm>
                      <a:off x="0" y="0"/>
                      <a:ext cx="5334000" cy="1105323"/>
                    </a:xfrm>
                    <a:prstGeom prst="rect">
                      <a:avLst/>
                    </a:prstGeom>
                    <a:noFill/>
                    <a:ln w="9525">
                      <a:noFill/>
                      <a:headEnd/>
                      <a:tailEnd/>
                    </a:ln>
                  </pic:spPr>
                </pic:pic>
              </a:graphicData>
            </a:graphic>
          </wp:inline>
        </w:drawing>
      </w:r>
    </w:p>
    <w:p>
      <w:pPr>
        <w:pStyle w:val="BodyText"/>
      </w:pPr>
      <w:r>
        <w:rPr>
          <w:i/>
          <w:iCs/>
        </w:rPr>
        <w:t xml:space="preserve">Figure 1 — Parcours d'un fichier audio, de l'upload jusqu'à la sauvegarde chiffrée Scaleway, en sept étapes (version Visio .vsdx remise en phase d'implantation).</w:t>
      </w:r>
    </w:p>
    <w:p>
      <w:pPr>
        <w:pStyle w:val="BodyText"/>
      </w:pPr>
      <w:r>
        <w:rPr>
          <w:b/>
          <w:bCs/>
        </w:rPr>
        <w:t xml:space="preserve">Version texte :</w:t>
      </w:r>
    </w:p>
    <w:p>
      <w:pPr>
        <w:pStyle w:val="SourceCode"/>
      </w:pPr>
      <w:r>
        <w:rPr>
          <w:rStyle w:val="VerbatimChar"/>
        </w:rPr>
        <w:t xml:space="preserve">[1] UTILISATEUR (Client)</w:t>
      </w:r>
      <w:r>
        <w:br/>
      </w:r>
      <w:r>
        <w:rPr>
          <w:rStyle w:val="VerbatimChar"/>
        </w:rPr>
        <w:t xml:space="preserve">      |  upload HTTPS (TLS 1.2+)</w:t>
      </w:r>
      <w:r>
        <w:br/>
      </w:r>
      <w:r>
        <w:rPr>
          <w:rStyle w:val="VerbatimChar"/>
        </w:rPr>
        <w:t xml:space="preserve">      v</w:t>
      </w:r>
      <w:r>
        <w:br/>
      </w:r>
      <w:r>
        <w:rPr>
          <w:rStyle w:val="VerbatimChar"/>
        </w:rPr>
        <w:t xml:space="preserve">[2] NGINX (reverse proxy, 443)  --  serveur prod, FRANCE</w:t>
      </w:r>
      <w:r>
        <w:br/>
      </w:r>
      <w:r>
        <w:rPr>
          <w:rStyle w:val="VerbatimChar"/>
        </w:rPr>
        <w:t xml:space="preserve">      |</w:t>
      </w:r>
      <w:r>
        <w:br/>
      </w:r>
      <w:r>
        <w:rPr>
          <w:rStyle w:val="VerbatimChar"/>
        </w:rPr>
        <w:t xml:space="preserve">      v</w:t>
      </w:r>
      <w:r>
        <w:br/>
      </w:r>
      <w:r>
        <w:rPr>
          <w:rStyle w:val="VerbatimChar"/>
        </w:rPr>
        <w:t xml:space="preserve">[3] APPLICATION LARAVEL</w:t>
      </w:r>
      <w:r>
        <w:br/>
      </w:r>
      <w:r>
        <w:rPr>
          <w:rStyle w:val="VerbatimChar"/>
        </w:rPr>
        <w:t xml:space="preserve">      |-- ClamAV : scan antivirus AVANT écriture</w:t>
      </w:r>
      <w:r>
        <w:br/>
      </w:r>
      <w:r>
        <w:rPr>
          <w:rStyle w:val="VerbatimChar"/>
        </w:rPr>
        <w:t xml:space="preserve">      |-- écriture sur le serveur de production (stockage au repos, voir §1)</w:t>
      </w:r>
      <w:r>
        <w:br/>
      </w:r>
      <w:r>
        <w:rPr>
          <w:rStyle w:val="VerbatimChar"/>
        </w:rPr>
        <w:t xml:space="preserve">      |-- statut du fichier : "pending"</w:t>
      </w:r>
      <w:r>
        <w:br/>
      </w:r>
      <w:r>
        <w:rPr>
          <w:rStyle w:val="VerbatimChar"/>
        </w:rPr>
        <w:t xml:space="preserve">      v</w:t>
      </w:r>
      <w:r>
        <w:br/>
      </w:r>
      <w:r>
        <w:rPr>
          <w:rStyle w:val="VerbatimChar"/>
        </w:rPr>
        <w:t xml:space="preserve">[4] WORKER DE TRANSCRIPTION (GPU dédié UE)</w:t>
      </w:r>
      <w:r>
        <w:br/>
      </w:r>
      <w:r>
        <w:rPr>
          <w:rStyle w:val="VerbatimChar"/>
        </w:rPr>
        <w:t xml:space="preserve">      |  récupère le job (URL signée temporaire, 30 min)</w:t>
      </w:r>
      <w:r>
        <w:br/>
      </w:r>
      <w:r>
        <w:rPr>
          <w:rStyle w:val="VerbatimChar"/>
        </w:rPr>
        <w:t xml:space="preserve">      |-- whisperX : transcription</w:t>
      </w:r>
      <w:r>
        <w:br/>
      </w:r>
      <w:r>
        <w:rPr>
          <w:rStyle w:val="VerbatimChar"/>
        </w:rPr>
        <w:t xml:space="preserve">      |-- pyannote : diarisation positionnelle (Speaker N)</w:t>
      </w:r>
      <w:r>
        <w:br/>
      </w:r>
      <w:r>
        <w:rPr>
          <w:rStyle w:val="VerbatimChar"/>
        </w:rPr>
        <w:t xml:space="preserve">      |-- embeddings vocaux en RAM -&gt; DÉTRUITS en fin de job</w:t>
      </w:r>
      <w:r>
        <w:br/>
      </w:r>
      <w:r>
        <w:rPr>
          <w:rStyle w:val="VerbatimChar"/>
        </w:rPr>
        <w:t xml:space="preserve">      |  POST /complete (segments JSON, TLS)</w:t>
      </w:r>
      <w:r>
        <w:br/>
      </w:r>
      <w:r>
        <w:rPr>
          <w:rStyle w:val="VerbatimChar"/>
        </w:rPr>
        <w:t xml:space="preserve">      v</w:t>
      </w:r>
      <w:r>
        <w:br/>
      </w:r>
      <w:r>
        <w:rPr>
          <w:rStyle w:val="VerbatimChar"/>
        </w:rPr>
        <w:t xml:space="preserve">[5] STOCKAGE (PostgreSQL, schéma de l'organisation, serveur prod FRANCE)</w:t>
      </w:r>
      <w:r>
        <w:br/>
      </w:r>
      <w:r>
        <w:rPr>
          <w:rStyle w:val="VerbatimChar"/>
        </w:rPr>
        <w:t xml:space="preserve">      |</w:t>
      </w:r>
      <w:r>
        <w:br/>
      </w:r>
      <w:r>
        <w:rPr>
          <w:rStyle w:val="VerbatimChar"/>
        </w:rPr>
        <w:t xml:space="preserve">      |-- (optionnel) EXPLOITATION IA :</w:t>
      </w:r>
      <w:r>
        <w:br/>
      </w:r>
      <w:r>
        <w:rPr>
          <w:rStyle w:val="VerbatimChar"/>
        </w:rPr>
        <w:t xml:space="preserve">      |      sources sélectionnées -&gt; VOIE PRIMAIRE : serveurs vLLM UE</w:t>
      </w:r>
      <w:r>
        <w:br/>
      </w:r>
      <w:r>
        <w:rPr>
          <w:rStyle w:val="VerbatimChar"/>
        </w:rPr>
        <w:t xml:space="preserve">      |          (Strasbourg / Paris ; open-weights ; aucun tiers)</w:t>
      </w:r>
      <w:r>
        <w:br/>
      </w:r>
      <w:r>
        <w:rPr>
          <w:rStyle w:val="VerbatimChar"/>
        </w:rPr>
        <w:t xml:space="preserve">      |      [secours désactivable : OpenRouter -&gt; fournisseur LLM, US possible]</w:t>
      </w:r>
      <w:r>
        <w:br/>
      </w:r>
      <w:r>
        <w:rPr>
          <w:rStyle w:val="VerbatimChar"/>
        </w:rPr>
        <w:t xml:space="preserve">      |      no-train ; minimisation ; TLS</w:t>
      </w:r>
      <w:r>
        <w:br/>
      </w:r>
      <w:r>
        <w:rPr>
          <w:rStyle w:val="VerbatimChar"/>
        </w:rPr>
        <w:t xml:space="preserve">      |      &lt;- réponse -&gt; table ai_generations (dans le tenant)</w:t>
      </w:r>
      <w:r>
        <w:br/>
      </w:r>
      <w:r>
        <w:rPr>
          <w:rStyle w:val="VerbatimChar"/>
        </w:rPr>
        <w:t xml:space="preserve">      v</w:t>
      </w:r>
      <w:r>
        <w:br/>
      </w:r>
      <w:r>
        <w:rPr>
          <w:rStyle w:val="VerbatimChar"/>
        </w:rPr>
        <w:t xml:space="preserve">[6] SAUVEGARDE QUOTIDIENNE</w:t>
      </w:r>
      <w:r>
        <w:br/>
      </w:r>
      <w:r>
        <w:rPr>
          <w:rStyle w:val="VerbatimChar"/>
        </w:rPr>
        <w:t xml:space="preserve">      |-- chiffrement age (X25519 + ChaCha20-Poly1305) AVANT sortie</w:t>
      </w:r>
      <w:r>
        <w:br/>
      </w:r>
      <w:r>
        <w:rPr>
          <w:rStyle w:val="VerbatimChar"/>
        </w:rPr>
        <w:t xml:space="preserve">      |  rclone -&gt; Scaleway (France, UE)</w:t>
      </w:r>
      <w:r>
        <w:br/>
      </w:r>
      <w:r>
        <w:rPr>
          <w:rStyle w:val="VerbatimChar"/>
        </w:rPr>
        <w:t xml:space="preserve">      v</w:t>
      </w:r>
      <w:r>
        <w:br/>
      </w:r>
      <w:r>
        <w:rPr>
          <w:rStyle w:val="VerbatimChar"/>
        </w:rPr>
        <w:t xml:space="preserve">[7] CYCLE DE VIE</w:t>
      </w:r>
      <w:r>
        <w:br/>
      </w:r>
      <w:r>
        <w:rPr>
          <w:rStyle w:val="VerbatimChar"/>
        </w:rPr>
        <w:t xml:space="preserve">      |-- conservation selon politique paramétrée par le Client</w:t>
      </w:r>
      <w:r>
        <w:br/>
      </w:r>
      <w:r>
        <w:rPr>
          <w:rStyle w:val="VerbatimChar"/>
        </w:rPr>
        <w:t xml:space="preserve">      |-- suppression (art. 17) ou expiration -&gt; purge + certificat</w:t>
      </w:r>
      <w:r>
        <w:br/>
      </w:r>
      <w:r>
        <w:rPr>
          <w:rStyle w:val="VerbatimChar"/>
        </w:rPr>
        <w:t xml:space="preserve">      \-- sauvegardes purgées sous 90 j</w:t>
      </w:r>
    </w:p>
    <w:p>
      <w:pPr>
        <w:pStyle w:val="FirstParagraph"/>
      </w:pPr>
      <w:r>
        <w:t xml:space="preserve">En</w:t>
      </w:r>
      <w:r>
        <w:t xml:space="preserve"> </w:t>
      </w:r>
      <w:r>
        <w:rPr>
          <w:b/>
          <w:bCs/>
        </w:rPr>
        <w:t xml:space="preserve">Option B isolée</w:t>
      </w:r>
      <w:r>
        <w:t xml:space="preserve">, les étapes [4], la partie exploitation IA de [5] et l'étape [6] s'exécutent</w:t>
      </w:r>
      <w:r>
        <w:t xml:space="preserve"> </w:t>
      </w:r>
      <w:r>
        <w:rPr>
          <w:b/>
          <w:bCs/>
        </w:rPr>
        <w:t xml:space="preserve">dans l'infrastructure du Client</w:t>
      </w:r>
      <w:r>
        <w:t xml:space="preserve"> </w:t>
      </w:r>
      <w:r>
        <w:t xml:space="preserve">(worker GPU local, LLM auto-hébergé, sauvegardes internes) :</w:t>
      </w:r>
      <w:r>
        <w:t xml:space="preserve"> </w:t>
      </w:r>
      <w:r>
        <w:rPr>
          <w:b/>
          <w:bCs/>
        </w:rPr>
        <w:t xml:space="preserve">aucune donnée ne sort de l'environnement du Client</w:t>
      </w:r>
      <w:r>
        <w:t xml:space="preserve">.</w:t>
      </w:r>
    </w:p>
    <w:p>
      <w:pPr>
        <w:pStyle w:val="BlockText"/>
      </w:pPr>
      <w:r>
        <w:t xml:space="preserve">Le synoptique définitif sera remis au format Visio (.vsdx) lors de la phase d'implantation, sur la base du présent schéma.</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76"/>
    <w:bookmarkEnd w:id="77"/>
    <w:bookmarkStart w:id="91" w:name="X1fcf1353751910428496754448e8c603dd55582"/>
    <w:p>
      <w:pPr>
        <w:pStyle w:val="Heading1"/>
      </w:pPr>
      <w:r>
        <w:t xml:space="preserve">Liste des sous-traitants ultérieurs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OHA-RGPD-03</w:t>
            </w:r>
          </w:p>
        </w:tc>
      </w:tr>
      <w:tr>
        <w:tc>
          <w:tcPr/>
          <w:p>
            <w:pPr>
              <w:pStyle w:val="Compact"/>
            </w:pPr>
            <w:r>
              <w:t xml:space="preserve">Objet</w:t>
            </w:r>
          </w:p>
        </w:tc>
        <w:tc>
          <w:tcPr/>
          <w:p>
            <w:pPr>
              <w:pStyle w:val="Compact"/>
            </w:pPr>
            <w:r>
              <w:t xml:space="preserve">Liste et caractérisation des sous-traitants ultérieurs (art. 28.2 et 28.4 RGPD)</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Destinataire</w:t>
            </w:r>
          </w:p>
        </w:tc>
        <w:tc>
          <w:tcPr/>
          <w:p>
            <w:pPr>
              <w:pStyle w:val="Compact"/>
            </w:pPr>
            <w:r>
              <w:t xml:space="preserve">Organisation cliente (document type)</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78" w:name="X1ed5dcafce5c18c99fc0c2e8a88a30fabdbe403"/>
    <w:p>
      <w:pPr>
        <w:pStyle w:val="Heading2"/>
      </w:pPr>
      <w:r>
        <w:t xml:space="preserve">1. Objet</w:t>
      </w:r>
    </w:p>
    <w:p>
      <w:pPr>
        <w:pStyle w:val="FirstParagraph"/>
      </w:pPr>
      <w:r>
        <w:t xml:space="preserve">Le présent document liste, de manière complète et à jour à la date du 2026-07-24, les sous-traitants ultérieurs auxquels OHADJA recourt pour l'exécution du service TranscribIA. Pour chacun sont précisés : le pays d'établissement, le rôle, les opérations effectuées, les lieux de traitement</w:t>
      </w:r>
      <w:r>
        <w:t xml:space="preserve"> </w:t>
      </w:r>
      <w:r>
        <w:rPr>
          <w:b/>
          <w:bCs/>
        </w:rPr>
        <w:t xml:space="preserve">et</w:t>
      </w:r>
      <w:r>
        <w:t xml:space="preserve"> </w:t>
      </w:r>
      <w:r>
        <w:t xml:space="preserve">de stockage, les accès humains aux données, et les garanties contractuelles.</w:t>
      </w:r>
    </w:p>
    <w:p>
      <w:pPr>
        <w:pStyle w:val="BodyText"/>
      </w:pPr>
      <w:r>
        <w:t xml:space="preserve">La liste ci-dessous vaut pour l'</w:t>
      </w:r>
      <w:r>
        <w:rPr>
          <w:b/>
          <w:bCs/>
        </w:rPr>
        <w:t xml:space="preserve">Option A (SaaS)</w:t>
      </w:r>
      <w:r>
        <w:t xml:space="preserve">. En</w:t>
      </w:r>
      <w:r>
        <w:t xml:space="preserve"> </w:t>
      </w:r>
      <w:r>
        <w:rPr>
          <w:b/>
          <w:bCs/>
        </w:rPr>
        <w:t xml:space="preserve">Option B isolée</w:t>
      </w:r>
      <w:r>
        <w:t xml:space="preserve">, il n'existe</w:t>
      </w:r>
      <w:r>
        <w:t xml:space="preserve"> </w:t>
      </w:r>
      <w:r>
        <w:rPr>
          <w:b/>
          <w:bCs/>
        </w:rPr>
        <w:t xml:space="preserve">aucun</w:t>
      </w:r>
      <w:r>
        <w:t xml:space="preserve"> </w:t>
      </w:r>
      <w:r>
        <w:t xml:space="preserve">sous-traitant ultérieur (section 4).</w:t>
      </w:r>
    </w:p>
    <w:p>
      <w:pPr>
        <w:pStyle w:val="BlockText"/>
      </w:pPr>
      <w:r>
        <w:rPr>
          <w:b/>
          <w:bCs/>
        </w:rPr>
        <w:t xml:space="preserve">Confirmation demandée par le client.</w:t>
      </w:r>
      <w:r>
        <w:t xml:space="preserve"> </w:t>
      </w:r>
      <w:r>
        <w:rPr>
          <w:b/>
          <w:bCs/>
        </w:rPr>
        <w:t xml:space="preserve">HOSTINGER</w:t>
      </w:r>
      <w:r>
        <w:t xml:space="preserve">,</w:t>
      </w:r>
      <w:r>
        <w:t xml:space="preserve"> </w:t>
      </w:r>
      <w:r>
        <w:rPr>
          <w:b/>
          <w:bCs/>
        </w:rPr>
        <w:t xml:space="preserve">SCALEWAY</w:t>
      </w:r>
      <w:r>
        <w:t xml:space="preserve">, les</w:t>
      </w:r>
      <w:r>
        <w:t xml:space="preserve"> </w:t>
      </w:r>
      <w:r>
        <w:rPr>
          <w:b/>
          <w:bCs/>
        </w:rPr>
        <w:t xml:space="preserve">serveurs LLM vLLM en UE (Strasbourg / Paris)</w:t>
      </w:r>
      <w:r>
        <w:t xml:space="preserve">,</w:t>
      </w:r>
      <w:r>
        <w:t xml:space="preserve"> </w:t>
      </w:r>
      <w:r>
        <w:rPr>
          <w:b/>
          <w:bCs/>
        </w:rPr>
        <w:t xml:space="preserve">OPENROUTER (voie de secours uniquement)</w:t>
      </w:r>
      <w:r>
        <w:t xml:space="preserve"> </w:t>
      </w:r>
      <w:r>
        <w:t xml:space="preserve">et le</w:t>
      </w:r>
      <w:r>
        <w:t xml:space="preserve"> </w:t>
      </w:r>
      <w:r>
        <w:rPr>
          <w:b/>
          <w:bCs/>
        </w:rPr>
        <w:t xml:space="preserve">serveur GPU de transcription</w:t>
      </w:r>
      <w:r>
        <w:t xml:space="preserve"> </w:t>
      </w:r>
      <w:r>
        <w:t xml:space="preserve">sont confirmés pour l'offre SaaS à la date du 2026-07-24.</w:t>
      </w:r>
      <w:r>
        <w:t xml:space="preserve"> </w:t>
      </w:r>
      <w:r>
        <w:rPr>
          <w:b/>
          <w:bCs/>
        </w:rPr>
        <w:t xml:space="preserve">BACKBLAZE : non utilisé</w:t>
      </w:r>
      <w:r>
        <w:t xml:space="preserve"> </w:t>
      </w:r>
      <w:r>
        <w:t xml:space="preserve">(la destination de sauvegarde effectivement configurée en production est Scaleway). Précision d'architecture (décision du 2026-07-24) : l'inférence IA repose en</w:t>
      </w:r>
      <w:r>
        <w:t xml:space="preserve"> </w:t>
      </w:r>
      <w:r>
        <w:rPr>
          <w:b/>
          <w:bCs/>
        </w:rPr>
        <w:t xml:space="preserve">voie primaire</w:t>
      </w:r>
      <w:r>
        <w:t xml:space="preserve"> </w:t>
      </w:r>
      <w:r>
        <w:t xml:space="preserve">sur des</w:t>
      </w:r>
      <w:r>
        <w:t xml:space="preserve"> </w:t>
      </w:r>
      <w:r>
        <w:rPr>
          <w:b/>
          <w:bCs/>
        </w:rPr>
        <w:t xml:space="preserve">serveurs vLLM maîtrisés en UE</w:t>
      </w:r>
      <w:r>
        <w:t xml:space="preserve"> </w:t>
      </w:r>
      <w:r>
        <w:t xml:space="preserve">(modèles open-weights, §2.4),</w:t>
      </w:r>
      <w:r>
        <w:t xml:space="preserve"> </w:t>
      </w:r>
      <w:r>
        <w:rPr>
          <w:b/>
          <w:bCs/>
        </w:rPr>
        <w:t xml:space="preserve">OpenRouter et les fournisseurs de modèles n'intervenant qu'en voie de secours (failover), désactivable</w:t>
      </w:r>
      <w:r>
        <w:t xml:space="preserve"> </w:t>
      </w:r>
      <w:r>
        <w:t xml:space="preserve">(§2.5 et §2.6).</w:t>
      </w:r>
    </w:p>
    <w:bookmarkEnd w:id="78"/>
    <w:bookmarkStart w:id="87" w:name="X7d7f3d4ba56fafba29532d1f9b5368d2f9d3cb0"/>
    <w:p>
      <w:pPr>
        <w:pStyle w:val="Heading2"/>
      </w:pPr>
      <w:r>
        <w:t xml:space="preserve">2. Sous-traitants ultérieurs — Option A (SaaS)</w:t>
      </w:r>
    </w:p>
    <w:bookmarkStart w:id="79" w:name="X081dbe31af525cb2a235c0a1bf0fc12e9f8c06e"/>
    <w:p>
      <w:pPr>
        <w:pStyle w:val="Heading3"/>
      </w:pPr>
      <w:r>
        <w:t xml:space="preserve">2.1 Hébergement — Hostinger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Entité</w:t>
            </w:r>
          </w:p>
        </w:tc>
        <w:tc>
          <w:tcPr/>
          <w:p>
            <w:pPr>
              <w:pStyle w:val="Compact"/>
            </w:pPr>
            <w:r>
              <w:t xml:space="preserve">Hostinger (opérations UE)</w:t>
            </w:r>
          </w:p>
        </w:tc>
      </w:tr>
      <w:tr>
        <w:tc>
          <w:tcPr/>
          <w:p>
            <w:pPr>
              <w:pStyle w:val="Compact"/>
            </w:pPr>
            <w:r>
              <w:t xml:space="preserve">Pays d'établissement</w:t>
            </w:r>
          </w:p>
        </w:tc>
        <w:tc>
          <w:tcPr/>
          <w:p>
            <w:pPr>
              <w:pStyle w:val="Compact"/>
            </w:pPr>
            <w:r>
              <w:t xml:space="preserve">Lituanie (UE)</w:t>
            </w:r>
          </w:p>
        </w:tc>
      </w:tr>
      <w:tr>
        <w:tc>
          <w:tcPr/>
          <w:p>
            <w:pPr>
              <w:pStyle w:val="Compact"/>
            </w:pPr>
            <w:r>
              <w:t xml:space="preserve">Rôle</w:t>
            </w:r>
          </w:p>
        </w:tc>
        <w:tc>
          <w:tcPr/>
          <w:p>
            <w:pPr>
              <w:pStyle w:val="Compact"/>
            </w:pPr>
            <w:r>
              <w:t xml:space="preserve">Hébergement du serveur de production</w:t>
            </w:r>
          </w:p>
        </w:tc>
      </w:tr>
      <w:tr>
        <w:tc>
          <w:tcPr/>
          <w:p>
            <w:pPr>
              <w:pStyle w:val="Compact"/>
            </w:pPr>
            <w:r>
              <w:t xml:space="preserve">Opérations effectuées</w:t>
            </w:r>
          </w:p>
        </w:tc>
        <w:tc>
          <w:tcPr/>
          <w:p>
            <w:pPr>
              <w:pStyle w:val="Compact"/>
            </w:pPr>
            <w:r>
              <w:t xml:space="preserve">Fourniture de l'infrastructure serveur (KVM), réseau, disponibilité</w:t>
            </w:r>
          </w:p>
        </w:tc>
      </w:tr>
      <w:tr>
        <w:tc>
          <w:tcPr/>
          <w:p>
            <w:pPr>
              <w:pStyle w:val="Compact"/>
            </w:pPr>
            <w:r>
              <w:t xml:space="preserve">Lieu de traitement</w:t>
            </w:r>
          </w:p>
        </w:tc>
        <w:tc>
          <w:tcPr/>
          <w:p>
            <w:pPr>
              <w:pStyle w:val="Compact"/>
            </w:pPr>
            <w:r>
              <w:t xml:space="preserve">Datacenter</w:t>
            </w:r>
            <w:r>
              <w:t xml:space="preserve"> </w:t>
            </w:r>
            <w:r>
              <w:rPr>
                <w:b/>
                <w:bCs/>
              </w:rPr>
              <w:t xml:space="preserve">France</w:t>
            </w:r>
          </w:p>
        </w:tc>
      </w:tr>
      <w:tr>
        <w:tc>
          <w:tcPr/>
          <w:p>
            <w:pPr>
              <w:pStyle w:val="Compact"/>
            </w:pPr>
            <w:r>
              <w:t xml:space="preserve">Lieu de stockage</w:t>
            </w:r>
          </w:p>
        </w:tc>
        <w:tc>
          <w:tcPr/>
          <w:p>
            <w:pPr>
              <w:pStyle w:val="Compact"/>
            </w:pPr>
            <w:r>
              <w:t xml:space="preserve">Datacenter</w:t>
            </w:r>
            <w:r>
              <w:t xml:space="preserve"> </w:t>
            </w:r>
            <w:r>
              <w:rPr>
                <w:b/>
                <w:bCs/>
              </w:rPr>
              <w:t xml:space="preserve">France</w:t>
            </w:r>
          </w:p>
        </w:tc>
      </w:tr>
      <w:tr>
        <w:tc>
          <w:tcPr/>
          <w:p>
            <w:pPr>
              <w:pStyle w:val="Compact"/>
            </w:pPr>
            <w:r>
              <w:t xml:space="preserve">Accès humain aux données</w:t>
            </w:r>
          </w:p>
        </w:tc>
        <w:tc>
          <w:tcPr/>
          <w:p>
            <w:pPr>
              <w:pStyle w:val="Compact"/>
            </w:pPr>
            <w:r>
              <w:rPr>
                <w:b/>
                <w:bCs/>
              </w:rPr>
              <w:t xml:space="preserve">Non</w:t>
            </w:r>
            <w:r>
              <w:t xml:space="preserve"> </w:t>
            </w:r>
            <w:r>
              <w:t xml:space="preserve">— accès physique au datacenter uniquement, pas d'accès logique ; chiffrement du disque selon l'offre du datacenter (mise à niveau LUKS/gocryptfs planifiée)</w:t>
            </w:r>
          </w:p>
        </w:tc>
      </w:tr>
      <w:tr>
        <w:tc>
          <w:tcPr/>
          <w:p>
            <w:pPr>
              <w:pStyle w:val="Compact"/>
            </w:pPr>
            <w:r>
              <w:t xml:space="preserve">Garanties contractuelles</w:t>
            </w:r>
          </w:p>
        </w:tc>
        <w:tc>
          <w:tcPr/>
          <w:p>
            <w:pPr>
              <w:pStyle w:val="Compact"/>
            </w:pPr>
            <w:r>
              <w:t xml:space="preserve">Contrat de service, clauses de sous-traitance, engagements RGPD</w:t>
            </w:r>
          </w:p>
        </w:tc>
      </w:tr>
    </w:tbl>
    <w:bookmarkEnd w:id="79"/>
    <w:bookmarkStart w:id="80" w:name="X2447a6290f02c28099d63de2637d6318aba6aab"/>
    <w:p>
      <w:pPr>
        <w:pStyle w:val="Heading3"/>
      </w:pPr>
      <w:r>
        <w:t xml:space="preserve">2.2 Sauvegarde offsite — Scaleway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Entité</w:t>
            </w:r>
          </w:p>
        </w:tc>
        <w:tc>
          <w:tcPr/>
          <w:p>
            <w:pPr>
              <w:pStyle w:val="Compact"/>
            </w:pPr>
            <w:r>
              <w:t xml:space="preserve">Scaleway</w:t>
            </w:r>
          </w:p>
        </w:tc>
      </w:tr>
      <w:tr>
        <w:tc>
          <w:tcPr/>
          <w:p>
            <w:pPr>
              <w:pStyle w:val="Compact"/>
            </w:pPr>
            <w:r>
              <w:t xml:space="preserve">Pays d'établissement</w:t>
            </w:r>
          </w:p>
        </w:tc>
        <w:tc>
          <w:tcPr/>
          <w:p>
            <w:pPr>
              <w:pStyle w:val="Compact"/>
            </w:pPr>
            <w:r>
              <w:t xml:space="preserve">France (UE)</w:t>
            </w:r>
          </w:p>
        </w:tc>
      </w:tr>
      <w:tr>
        <w:tc>
          <w:tcPr/>
          <w:p>
            <w:pPr>
              <w:pStyle w:val="Compact"/>
            </w:pPr>
            <w:r>
              <w:t xml:space="preserve">Rôle</w:t>
            </w:r>
          </w:p>
        </w:tc>
        <w:tc>
          <w:tcPr/>
          <w:p>
            <w:pPr>
              <w:pStyle w:val="Compact"/>
            </w:pPr>
            <w:r>
              <w:t xml:space="preserve">Stockage des sauvegardes chiffrées</w:t>
            </w:r>
          </w:p>
        </w:tc>
      </w:tr>
      <w:tr>
        <w:tc>
          <w:tcPr/>
          <w:p>
            <w:pPr>
              <w:pStyle w:val="Compact"/>
            </w:pPr>
            <w:r>
              <w:t xml:space="preserve">Opérations effectuées</w:t>
            </w:r>
          </w:p>
        </w:tc>
        <w:tc>
          <w:tcPr/>
          <w:p>
            <w:pPr>
              <w:pStyle w:val="Compact"/>
            </w:pPr>
            <w:r>
              <w:t xml:space="preserve">Stockage d'objets des sauvegardes externalisées</w:t>
            </w:r>
          </w:p>
        </w:tc>
      </w:tr>
      <w:tr>
        <w:tc>
          <w:tcPr/>
          <w:p>
            <w:pPr>
              <w:pStyle w:val="Compact"/>
            </w:pPr>
            <w:r>
              <w:t xml:space="preserve">Lieu de traitement / stockage</w:t>
            </w:r>
          </w:p>
        </w:tc>
        <w:tc>
          <w:tcPr/>
          <w:p>
            <w:pPr>
              <w:pStyle w:val="Compact"/>
            </w:pPr>
            <w:r>
              <w:rPr>
                <w:b/>
                <w:bCs/>
              </w:rPr>
              <w:t xml:space="preserve">France (région UE)</w:t>
            </w:r>
          </w:p>
        </w:tc>
      </w:tr>
      <w:tr>
        <w:tc>
          <w:tcPr/>
          <w:p>
            <w:pPr>
              <w:pStyle w:val="Compact"/>
            </w:pPr>
            <w:r>
              <w:t xml:space="preserve">Accès humain aux données</w:t>
            </w:r>
          </w:p>
        </w:tc>
        <w:tc>
          <w:tcPr/>
          <w:p>
            <w:pPr>
              <w:pStyle w:val="Compact"/>
            </w:pPr>
            <w:r>
              <w:rPr>
                <w:b/>
                <w:bCs/>
              </w:rPr>
              <w:t xml:space="preserve">Non</w:t>
            </w:r>
            <w:r>
              <w:t xml:space="preserve"> </w:t>
            </w:r>
            <w:r>
              <w:t xml:space="preserve">— données chiffrées avec age</w:t>
            </w:r>
            <w:r>
              <w:t xml:space="preserve"> </w:t>
            </w:r>
            <w:r>
              <w:rPr>
                <w:b/>
                <w:bCs/>
              </w:rPr>
              <w:t xml:space="preserve">avant</w:t>
            </w:r>
            <w:r>
              <w:t xml:space="preserve"> </w:t>
            </w:r>
            <w:r>
              <w:t xml:space="preserve">externalisation ; clés détenues par OHADJA (en UE). Le prestataire ne détient que des blocs chiffrés illisibles</w:t>
            </w:r>
          </w:p>
        </w:tc>
      </w:tr>
      <w:tr>
        <w:tc>
          <w:tcPr/>
          <w:p>
            <w:pPr>
              <w:pStyle w:val="Compact"/>
            </w:pPr>
            <w:r>
              <w:t xml:space="preserve">Garanties contractuelles</w:t>
            </w:r>
          </w:p>
        </w:tc>
        <w:tc>
          <w:tcPr/>
          <w:p>
            <w:pPr>
              <w:pStyle w:val="Compact"/>
            </w:pPr>
            <w:r>
              <w:t xml:space="preserve">Contrat de service, engagements RGPD (prestataire établi et hébergeant en France)</w:t>
            </w:r>
          </w:p>
        </w:tc>
      </w:tr>
    </w:tbl>
    <w:p>
      <w:pPr>
        <w:pStyle w:val="BlockText"/>
      </w:pPr>
      <w:r>
        <w:rPr>
          <w:b/>
          <w:bCs/>
        </w:rPr>
        <w:t xml:space="preserve">Note.</w:t>
      </w:r>
      <w:r>
        <w:t xml:space="preserve"> </w:t>
      </w:r>
      <w:r>
        <w:t xml:space="preserve">La destination de sauvegarde effectivement configurée en production est</w:t>
      </w:r>
      <w:r>
        <w:t xml:space="preserve"> </w:t>
      </w:r>
      <w:r>
        <w:rPr>
          <w:b/>
          <w:bCs/>
        </w:rPr>
        <w:t xml:space="preserve">Scaleway (France)</w:t>
      </w:r>
      <w:r>
        <w:t xml:space="preserve">, vérifiée sur l'environnement de production le 2026-07-24. Backblaze, un temps envisagé comme alternative,</w:t>
      </w:r>
      <w:r>
        <w:t xml:space="preserve"> </w:t>
      </w:r>
      <w:r>
        <w:rPr>
          <w:b/>
          <w:bCs/>
        </w:rPr>
        <w:t xml:space="preserve">n'est pas utilisé</w:t>
      </w:r>
      <w:r>
        <w:t xml:space="preserve">. La chaîne de sauvegarde est ainsi entièrement en UE, les données étant en outre chiffrées avant sortie et illisibles pour le prestataire.</w:t>
      </w:r>
    </w:p>
    <w:bookmarkEnd w:id="80"/>
    <w:bookmarkStart w:id="81" w:name="X5eda3f95e6ae0a3f98e9e21cefd17b111bd1d7f"/>
    <w:p>
      <w:pPr>
        <w:pStyle w:val="Heading3"/>
      </w:pPr>
      <w:r>
        <w:t xml:space="preserve">2.3 Transcription GPU — GPU dédié / Vast.ai (si activé)</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Entité</w:t>
            </w:r>
          </w:p>
        </w:tc>
        <w:tc>
          <w:tcPr/>
          <w:p>
            <w:pPr>
              <w:pStyle w:val="Compact"/>
            </w:pPr>
            <w:r>
              <w:t xml:space="preserve">Serveur GPU dédié ; Vast.ai lorsque activé</w:t>
            </w:r>
          </w:p>
        </w:tc>
      </w:tr>
      <w:tr>
        <w:tc>
          <w:tcPr/>
          <w:p>
            <w:pPr>
              <w:pStyle w:val="Compact"/>
            </w:pPr>
            <w:r>
              <w:t xml:space="preserve">Pays d'établissement</w:t>
            </w:r>
          </w:p>
        </w:tc>
        <w:tc>
          <w:tcPr/>
          <w:p>
            <w:pPr>
              <w:pStyle w:val="Compact"/>
            </w:pPr>
            <w:r>
              <w:t xml:space="preserve">GPU dédié : UE ; Vast.ai : USA (place de marché)</w:t>
            </w:r>
          </w:p>
        </w:tc>
      </w:tr>
      <w:tr>
        <w:tc>
          <w:tcPr/>
          <w:p>
            <w:pPr>
              <w:pStyle w:val="Compact"/>
            </w:pPr>
            <w:r>
              <w:t xml:space="preserve">Rôle</w:t>
            </w:r>
          </w:p>
        </w:tc>
        <w:tc>
          <w:tcPr/>
          <w:p>
            <w:pPr>
              <w:pStyle w:val="Compact"/>
            </w:pPr>
            <w:r>
              <w:t xml:space="preserve">Transcription (whisperX) et diarisation (pyannote)</w:t>
            </w:r>
          </w:p>
        </w:tc>
      </w:tr>
      <w:tr>
        <w:tc>
          <w:tcPr/>
          <w:p>
            <w:pPr>
              <w:pStyle w:val="Compact"/>
            </w:pPr>
            <w:r>
              <w:t xml:space="preserve">Opérations effectuées</w:t>
            </w:r>
          </w:p>
        </w:tc>
        <w:tc>
          <w:tcPr/>
          <w:p>
            <w:pPr>
              <w:pStyle w:val="Compact"/>
            </w:pPr>
            <w:r>
              <w:t xml:space="preserve">Transcription automatique, diarisation positionnelle, le cas échéant corrélation vocale éphémère</w:t>
            </w:r>
          </w:p>
        </w:tc>
      </w:tr>
      <w:tr>
        <w:tc>
          <w:tcPr/>
          <w:p>
            <w:pPr>
              <w:pStyle w:val="Compact"/>
            </w:pPr>
            <w:r>
              <w:t xml:space="preserve">Lieu de traitement</w:t>
            </w:r>
          </w:p>
        </w:tc>
        <w:tc>
          <w:tcPr/>
          <w:p>
            <w:pPr>
              <w:pStyle w:val="Compact"/>
            </w:pPr>
            <w:r>
              <w:t xml:space="preserve">UE lorsque requis par le client (machines sélectionnées en UE)</w:t>
            </w:r>
          </w:p>
        </w:tc>
      </w:tr>
      <w:tr>
        <w:tc>
          <w:tcPr/>
          <w:p>
            <w:pPr>
              <w:pStyle w:val="Compact"/>
            </w:pPr>
            <w:r>
              <w:t xml:space="preserve">Lieu de stockage</w:t>
            </w:r>
          </w:p>
        </w:tc>
        <w:tc>
          <w:tcPr/>
          <w:p>
            <w:pPr>
              <w:pStyle w:val="Compact"/>
            </w:pPr>
            <w:r>
              <w:t xml:space="preserve">Aucun stockage durable — données supprimées après le job</w:t>
            </w:r>
          </w:p>
        </w:tc>
      </w:tr>
      <w:tr>
        <w:tc>
          <w:tcPr/>
          <w:p>
            <w:pPr>
              <w:pStyle w:val="Compact"/>
            </w:pPr>
            <w:r>
              <w:t xml:space="preserve">Accès humain aux données</w:t>
            </w:r>
          </w:p>
        </w:tc>
        <w:tc>
          <w:tcPr/>
          <w:p>
            <w:pPr>
              <w:pStyle w:val="Compact"/>
            </w:pPr>
            <w:r>
              <w:rPr>
                <w:b/>
                <w:bCs/>
              </w:rPr>
              <w:t xml:space="preserve">Non</w:t>
            </w:r>
            <w:r>
              <w:t xml:space="preserve"> </w:t>
            </w:r>
            <w:r>
              <w:t xml:space="preserve">— traitement automatisé ; suppression en fin de job</w:t>
            </w:r>
          </w:p>
        </w:tc>
      </w:tr>
      <w:tr>
        <w:tc>
          <w:tcPr/>
          <w:p>
            <w:pPr>
              <w:pStyle w:val="Compact"/>
            </w:pPr>
            <w:r>
              <w:t xml:space="preserve">Garanties contractuelles</w:t>
            </w:r>
          </w:p>
        </w:tc>
        <w:tc>
          <w:tcPr/>
          <w:p>
            <w:pPr>
              <w:pStyle w:val="Compact"/>
            </w:pPr>
            <w:r>
              <w:t xml:space="preserve">Contrat / conditions fournisseur ; sélection de ressources UE lorsque requis ; CCT ou garanties équivalentes si hors UE</w:t>
            </w:r>
          </w:p>
        </w:tc>
      </w:tr>
    </w:tbl>
    <w:bookmarkEnd w:id="81"/>
    <w:bookmarkStart w:id="82" w:name="X0b150814d8678abee802aa800d15a6e2f5b57ee"/>
    <w:p>
      <w:pPr>
        <w:pStyle w:val="Heading3"/>
      </w:pPr>
      <w:r>
        <w:t xml:space="preserve">2.4 Inférence IA — serveurs vLLM maîtrisés (voie primaire)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Entité</w:t>
            </w:r>
          </w:p>
        </w:tc>
        <w:tc>
          <w:tcPr/>
          <w:p>
            <w:pPr>
              <w:pStyle w:val="Compact"/>
            </w:pPr>
            <w:r>
              <w:t xml:space="preserve">OHADJA (serveurs GPU maîtrisés)</w:t>
            </w:r>
          </w:p>
        </w:tc>
      </w:tr>
      <w:tr>
        <w:tc>
          <w:tcPr/>
          <w:p>
            <w:pPr>
              <w:pStyle w:val="Compact"/>
            </w:pPr>
            <w:r>
              <w:t xml:space="preserve">Pays d'établissement</w:t>
            </w:r>
          </w:p>
        </w:tc>
        <w:tc>
          <w:tcPr/>
          <w:p>
            <w:pPr>
              <w:pStyle w:val="Compact"/>
            </w:pPr>
            <w:r>
              <w:t xml:space="preserve">France / UE</w:t>
            </w:r>
          </w:p>
        </w:tc>
      </w:tr>
      <w:tr>
        <w:tc>
          <w:tcPr/>
          <w:p>
            <w:pPr>
              <w:pStyle w:val="Compact"/>
            </w:pPr>
            <w:r>
              <w:t xml:space="preserve">Rôle</w:t>
            </w:r>
          </w:p>
        </w:tc>
        <w:tc>
          <w:tcPr/>
          <w:p>
            <w:pPr>
              <w:pStyle w:val="Compact"/>
            </w:pPr>
            <w:r>
              <w:rPr>
                <w:b/>
                <w:bCs/>
              </w:rPr>
              <w:t xml:space="preserve">Voie primaire</w:t>
            </w:r>
            <w:r>
              <w:t xml:space="preserve"> </w:t>
            </w:r>
            <w:r>
              <w:t xml:space="preserve">d'inférence des modèles de langage (fonctions IA)</w:t>
            </w:r>
          </w:p>
        </w:tc>
      </w:tr>
      <w:tr>
        <w:tc>
          <w:tcPr/>
          <w:p>
            <w:pPr>
              <w:pStyle w:val="Compact"/>
            </w:pPr>
            <w:r>
              <w:t xml:space="preserve">Opérations effectuées</w:t>
            </w:r>
          </w:p>
        </w:tc>
        <w:tc>
          <w:tcPr/>
          <w:p>
            <w:pPr>
              <w:pStyle w:val="Compact"/>
            </w:pPr>
            <w:r>
              <w:t xml:space="preserve">Inférence de modèles</w:t>
            </w:r>
            <w:r>
              <w:t xml:space="preserve"> </w:t>
            </w:r>
            <w:r>
              <w:rPr>
                <w:b/>
                <w:bCs/>
              </w:rPr>
              <w:t xml:space="preserve">open-weights</w:t>
            </w:r>
            <w:r>
              <w:t xml:space="preserve"> </w:t>
            </w:r>
            <w:r>
              <w:t xml:space="preserve">(Qwen 3.6 ou Mistral [versions à confirmer]) via vLLM</w:t>
            </w:r>
          </w:p>
        </w:tc>
      </w:tr>
      <w:tr>
        <w:tc>
          <w:tcPr/>
          <w:p>
            <w:pPr>
              <w:pStyle w:val="Compact"/>
            </w:pPr>
            <w:r>
              <w:t xml:space="preserve">Lieu de traitement</w:t>
            </w:r>
          </w:p>
        </w:tc>
        <w:tc>
          <w:tcPr/>
          <w:p>
            <w:pPr>
              <w:pStyle w:val="Compact"/>
            </w:pPr>
            <w:r>
              <w:rPr>
                <w:b/>
                <w:bCs/>
              </w:rPr>
              <w:t xml:space="preserve">UE — principalement Strasbourg et Paris</w:t>
            </w:r>
            <w:r>
              <w:t xml:space="preserve"> </w:t>
            </w:r>
            <w:r>
              <w:t xml:space="preserve">(ou infrastructure du Client en Option B)</w:t>
            </w:r>
          </w:p>
        </w:tc>
      </w:tr>
      <w:tr>
        <w:tc>
          <w:tcPr/>
          <w:p>
            <w:pPr>
              <w:pStyle w:val="Compact"/>
            </w:pPr>
            <w:r>
              <w:t xml:space="preserve">Lieu de stockage</w:t>
            </w:r>
          </w:p>
        </w:tc>
        <w:tc>
          <w:tcPr/>
          <w:p>
            <w:pPr>
              <w:pStyle w:val="Compact"/>
            </w:pPr>
            <w:r>
              <w:t xml:space="preserve">Pas de stockage durable ;</w:t>
            </w:r>
            <w:r>
              <w:t xml:space="preserve"> </w:t>
            </w:r>
            <w:r>
              <w:rPr>
                <w:b/>
                <w:bCs/>
              </w:rPr>
              <w:t xml:space="preserve">aucune transmission à un fournisseur tiers</w:t>
            </w:r>
          </w:p>
        </w:tc>
      </w:tr>
      <w:tr>
        <w:tc>
          <w:tcPr/>
          <w:p>
            <w:pPr>
              <w:pStyle w:val="Compact"/>
            </w:pPr>
            <w:r>
              <w:t xml:space="preserve">Accès humain aux données</w:t>
            </w:r>
          </w:p>
        </w:tc>
        <w:tc>
          <w:tcPr/>
          <w:p>
            <w:pPr>
              <w:pStyle w:val="Compact"/>
            </w:pPr>
            <w:r>
              <w:rPr>
                <w:b/>
                <w:bCs/>
              </w:rPr>
              <w:t xml:space="preserve">Non</w:t>
            </w:r>
            <w:r>
              <w:t xml:space="preserve"> </w:t>
            </w:r>
            <w:r>
              <w:t xml:space="preserve">— traitement automatisé sur serveurs maîtrisés</w:t>
            </w:r>
          </w:p>
        </w:tc>
      </w:tr>
      <w:tr>
        <w:tc>
          <w:tcPr/>
          <w:p>
            <w:pPr>
              <w:pStyle w:val="Compact"/>
            </w:pPr>
            <w:r>
              <w:t xml:space="preserve">Garanties contractuelles</w:t>
            </w:r>
          </w:p>
        </w:tc>
        <w:tc>
          <w:tcPr/>
          <w:p>
            <w:pPr>
              <w:pStyle w:val="Compact"/>
            </w:pPr>
            <w:r>
              <w:t xml:space="preserve">Serveurs sous maîtrise d'OHADJA ; no-train ; DPA</w:t>
            </w:r>
          </w:p>
        </w:tc>
      </w:tr>
    </w:tbl>
    <w:p>
      <w:pPr>
        <w:pStyle w:val="BlockText"/>
      </w:pPr>
      <w:r>
        <w:t xml:space="preserve">La voie primaire n'implique</w:t>
      </w:r>
      <w:r>
        <w:t xml:space="preserve"> </w:t>
      </w:r>
      <w:r>
        <w:rPr>
          <w:b/>
          <w:bCs/>
        </w:rPr>
        <w:t xml:space="preserve">aucun sous-traitant tiers d'inférence</w:t>
      </w:r>
      <w:r>
        <w:t xml:space="preserve"> </w:t>
      </w:r>
      <w:r>
        <w:t xml:space="preserve">ni transfert hors EEE. Selon leur mode d'hébergement, ces serveurs GPU peuvent s'appuyer sur les ressources d'un hébergeur UE dûment encadré —</w:t>
      </w:r>
      <w:r>
        <w:t xml:space="preserve"> </w:t>
      </w:r>
      <w:r>
        <w:rPr>
          <w:b/>
          <w:bCs/>
        </w:rPr>
        <w:t xml:space="preserve">[À CONFIRMER : hébergeur des serveurs GPU vLLM]</w:t>
      </w:r>
      <w:r>
        <w:t xml:space="preserve">.</w:t>
      </w:r>
    </w:p>
    <w:bookmarkEnd w:id="82"/>
    <w:bookmarkStart w:id="83" w:name="Xe24c5cb2d6d45e1fe077f14e9da0e604d7d99b4"/>
    <w:p>
      <w:pPr>
        <w:pStyle w:val="Heading3"/>
      </w:pPr>
      <w:r>
        <w:t xml:space="preserve">2.5 Passerelle IA de secours — OpenRouter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Entité</w:t>
            </w:r>
          </w:p>
        </w:tc>
        <w:tc>
          <w:tcPr/>
          <w:p>
            <w:pPr>
              <w:pStyle w:val="Compact"/>
            </w:pPr>
            <w:r>
              <w:t xml:space="preserve">OpenRouter Inc.</w:t>
            </w:r>
          </w:p>
        </w:tc>
      </w:tr>
      <w:tr>
        <w:tc>
          <w:tcPr/>
          <w:p>
            <w:pPr>
              <w:pStyle w:val="Compact"/>
            </w:pPr>
            <w:r>
              <w:t xml:space="preserve">Pays d'établissement</w:t>
            </w:r>
          </w:p>
        </w:tc>
        <w:tc>
          <w:tcPr/>
          <w:p>
            <w:pPr>
              <w:pStyle w:val="Compact"/>
            </w:pPr>
            <w:r>
              <w:t xml:space="preserve">USA</w:t>
            </w:r>
          </w:p>
        </w:tc>
      </w:tr>
      <w:tr>
        <w:tc>
          <w:tcPr/>
          <w:p>
            <w:pPr>
              <w:pStyle w:val="Compact"/>
            </w:pPr>
            <w:r>
              <w:t xml:space="preserve">Rôle</w:t>
            </w:r>
          </w:p>
        </w:tc>
        <w:tc>
          <w:tcPr/>
          <w:p>
            <w:pPr>
              <w:pStyle w:val="Compact"/>
            </w:pPr>
            <w:r>
              <w:t xml:space="preserve">Passerelle d'accès aux modèles de langage</w:t>
            </w:r>
            <w:r>
              <w:t xml:space="preserve"> </w:t>
            </w:r>
            <w:r>
              <w:rPr>
                <w:b/>
                <w:bCs/>
              </w:rPr>
              <w:t xml:space="preserve">en secours (failover) uniquement</w:t>
            </w:r>
            <w:r>
              <w:t xml:space="preserve">, désactivable par organisation</w:t>
            </w:r>
          </w:p>
        </w:tc>
      </w:tr>
      <w:tr>
        <w:tc>
          <w:tcPr/>
          <w:p>
            <w:pPr>
              <w:pStyle w:val="Compact"/>
            </w:pPr>
            <w:r>
              <w:t xml:space="preserve">Opérations effectuées</w:t>
            </w:r>
          </w:p>
        </w:tc>
        <w:tc>
          <w:tcPr/>
          <w:p>
            <w:pPr>
              <w:pStyle w:val="Compact"/>
            </w:pPr>
            <w:r>
              <w:t xml:space="preserve">Routage des requêtes d'inférence en cas d'indisponibilité de la voie primaire</w:t>
            </w:r>
          </w:p>
        </w:tc>
      </w:tr>
      <w:tr>
        <w:tc>
          <w:tcPr/>
          <w:p>
            <w:pPr>
              <w:pStyle w:val="Compact"/>
            </w:pPr>
            <w:r>
              <w:t xml:space="preserve">Lieu de traitement</w:t>
            </w:r>
          </w:p>
        </w:tc>
        <w:tc>
          <w:tcPr/>
          <w:p>
            <w:pPr>
              <w:pStyle w:val="Compact"/>
            </w:pPr>
            <w:r>
              <w:t xml:space="preserve">Routage US possible selon le modèle</w:t>
            </w:r>
          </w:p>
        </w:tc>
      </w:tr>
      <w:tr>
        <w:tc>
          <w:tcPr/>
          <w:p>
            <w:pPr>
              <w:pStyle w:val="Compact"/>
            </w:pPr>
            <w:r>
              <w:t xml:space="preserve">Lieu de stockage</w:t>
            </w:r>
          </w:p>
        </w:tc>
        <w:tc>
          <w:tcPr/>
          <w:p>
            <w:pPr>
              <w:pStyle w:val="Compact"/>
            </w:pPr>
            <w:r>
              <w:t xml:space="preserve">Pas de stockage durable ; no-train activé</w:t>
            </w:r>
          </w:p>
        </w:tc>
      </w:tr>
      <w:tr>
        <w:tc>
          <w:tcPr/>
          <w:p>
            <w:pPr>
              <w:pStyle w:val="Compact"/>
            </w:pPr>
            <w:r>
              <w:t xml:space="preserve">Accès humain aux données</w:t>
            </w:r>
          </w:p>
        </w:tc>
        <w:tc>
          <w:tcPr/>
          <w:p>
            <w:pPr>
              <w:pStyle w:val="Compact"/>
            </w:pPr>
            <w:r>
              <w:rPr>
                <w:b/>
                <w:bCs/>
              </w:rPr>
              <w:t xml:space="preserve">Non</w:t>
            </w:r>
            <w:r>
              <w:t xml:space="preserve"> </w:t>
            </w:r>
            <w:r>
              <w:t xml:space="preserve">— accès technique automatisé ; prompts = données sélectionnées par le client, minimisées</w:t>
            </w:r>
          </w:p>
        </w:tc>
      </w:tr>
      <w:tr>
        <w:tc>
          <w:tcPr/>
          <w:p>
            <w:pPr>
              <w:pStyle w:val="Compact"/>
            </w:pPr>
            <w:r>
              <w:t xml:space="preserve">Garanties contractuelles</w:t>
            </w:r>
          </w:p>
        </w:tc>
        <w:tc>
          <w:tcPr/>
          <w:p>
            <w:pPr>
              <w:pStyle w:val="Compact"/>
            </w:pPr>
            <w:r>
              <w:t xml:space="preserve">Conditions fournisseur, no-train flag, CCT le cas échéant, mesures supplémentaires (voir OHA-RGPD-04)</w:t>
            </w:r>
          </w:p>
        </w:tc>
      </w:tr>
    </w:tbl>
    <w:bookmarkEnd w:id="83"/>
    <w:bookmarkStart w:id="84" w:name="X7a9d209f5e73c542f519287662e80a7a58cad7d"/>
    <w:p>
      <w:pPr>
        <w:pStyle w:val="Heading3"/>
      </w:pPr>
      <w:r>
        <w:t xml:space="preserve">2.6 Fournisseurs de modèles via OpenRouter (voie de secours) — Anthropic, OpenAI…</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Entité</w:t>
            </w:r>
          </w:p>
        </w:tc>
        <w:tc>
          <w:tcPr/>
          <w:p>
            <w:pPr>
              <w:pStyle w:val="Compact"/>
            </w:pPr>
            <w:r>
              <w:t xml:space="preserve">Fournisseurs de modèles configurés (Anthropic, OpenAI…)</w:t>
            </w:r>
          </w:p>
        </w:tc>
      </w:tr>
      <w:tr>
        <w:tc>
          <w:tcPr/>
          <w:p>
            <w:pPr>
              <w:pStyle w:val="Compact"/>
            </w:pPr>
            <w:r>
              <w:t xml:space="preserve">Pays d'établissement</w:t>
            </w:r>
          </w:p>
        </w:tc>
        <w:tc>
          <w:tcPr/>
          <w:p>
            <w:pPr>
              <w:pStyle w:val="Compact"/>
            </w:pPr>
            <w:r>
              <w:t xml:space="preserve">USA</w:t>
            </w:r>
          </w:p>
        </w:tc>
      </w:tr>
      <w:tr>
        <w:tc>
          <w:tcPr/>
          <w:p>
            <w:pPr>
              <w:pStyle w:val="Compact"/>
            </w:pPr>
            <w:r>
              <w:t xml:space="preserve">Rôle</w:t>
            </w:r>
          </w:p>
        </w:tc>
        <w:tc>
          <w:tcPr/>
          <w:p>
            <w:pPr>
              <w:pStyle w:val="Compact"/>
            </w:pPr>
            <w:r>
              <w:t xml:space="preserve">Inférence des modèles de langage</w:t>
            </w:r>
            <w:r>
              <w:t xml:space="preserve"> </w:t>
            </w:r>
            <w:r>
              <w:rPr>
                <w:b/>
                <w:bCs/>
              </w:rPr>
              <w:t xml:space="preserve">en secours uniquement</w:t>
            </w:r>
          </w:p>
        </w:tc>
      </w:tr>
      <w:tr>
        <w:tc>
          <w:tcPr/>
          <w:p>
            <w:pPr>
              <w:pStyle w:val="Compact"/>
            </w:pPr>
            <w:r>
              <w:t xml:space="preserve">Opérations effectuées</w:t>
            </w:r>
          </w:p>
        </w:tc>
        <w:tc>
          <w:tcPr/>
          <w:p>
            <w:pPr>
              <w:pStyle w:val="Compact"/>
            </w:pPr>
            <w:r>
              <w:t xml:space="preserve">Génération de texte (correction, résumé, procès-verbal, analyse) sur les seules requêtes du client, en cas de bascule sur le secours</w:t>
            </w:r>
          </w:p>
        </w:tc>
      </w:tr>
      <w:tr>
        <w:tc>
          <w:tcPr/>
          <w:p>
            <w:pPr>
              <w:pStyle w:val="Compact"/>
            </w:pPr>
            <w:r>
              <w:t xml:space="preserve">Lieu de traitement</w:t>
            </w:r>
          </w:p>
        </w:tc>
        <w:tc>
          <w:tcPr/>
          <w:p>
            <w:pPr>
              <w:pStyle w:val="Compact"/>
            </w:pPr>
            <w:r>
              <w:t xml:space="preserve">USA/UE selon le modèle</w:t>
            </w:r>
          </w:p>
        </w:tc>
      </w:tr>
      <w:tr>
        <w:tc>
          <w:tcPr/>
          <w:p>
            <w:pPr>
              <w:pStyle w:val="Compact"/>
            </w:pPr>
            <w:r>
              <w:t xml:space="preserve">Lieu de stockage</w:t>
            </w:r>
          </w:p>
        </w:tc>
        <w:tc>
          <w:tcPr/>
          <w:p>
            <w:pPr>
              <w:pStyle w:val="Compact"/>
            </w:pPr>
            <w:r>
              <w:t xml:space="preserve">Rétention limitée selon le DPA du fournisseur ; pas d'entraînement sur les données</w:t>
            </w:r>
          </w:p>
        </w:tc>
      </w:tr>
      <w:tr>
        <w:tc>
          <w:tcPr/>
          <w:p>
            <w:pPr>
              <w:pStyle w:val="Compact"/>
            </w:pPr>
            <w:r>
              <w:t xml:space="preserve">Accès humain aux données</w:t>
            </w:r>
          </w:p>
        </w:tc>
        <w:tc>
          <w:tcPr/>
          <w:p>
            <w:pPr>
              <w:pStyle w:val="Compact"/>
            </w:pPr>
            <w:r>
              <w:t xml:space="preserve">Encadré par le DPA du fournisseur ; aucun accès humain côté OHADJA</w:t>
            </w:r>
          </w:p>
        </w:tc>
      </w:tr>
      <w:tr>
        <w:tc>
          <w:tcPr/>
          <w:p>
            <w:pPr>
              <w:pStyle w:val="Compact"/>
            </w:pPr>
            <w:r>
              <w:t xml:space="preserve">Garanties contractuelles</w:t>
            </w:r>
          </w:p>
        </w:tc>
        <w:tc>
          <w:tcPr/>
          <w:p>
            <w:pPr>
              <w:pStyle w:val="Compact"/>
            </w:pPr>
            <w:r>
              <w:t xml:space="preserve">DPA fournisseur, no-train, CCT le cas échéant ; rétention exacte [À COMPLÉTER par fournisseur]</w:t>
            </w:r>
          </w:p>
        </w:tc>
      </w:tr>
    </w:tbl>
    <w:bookmarkEnd w:id="84"/>
    <w:bookmarkStart w:id="85" w:name="X739d67500347b1e3573abccc1a95744451fddf3"/>
    <w:p>
      <w:pPr>
        <w:pStyle w:val="Heading3"/>
      </w:pPr>
      <w:r>
        <w:t xml:space="preserve">2.7 Email transactionnel (si activé)</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Entité</w:t>
            </w:r>
          </w:p>
        </w:tc>
        <w:tc>
          <w:tcPr/>
          <w:p>
            <w:pPr>
              <w:pStyle w:val="Compact"/>
            </w:pPr>
            <w:r>
              <w:t xml:space="preserve">Prestataire d'email transactionnel</w:t>
            </w:r>
          </w:p>
        </w:tc>
      </w:tr>
      <w:tr>
        <w:tc>
          <w:tcPr/>
          <w:p>
            <w:pPr>
              <w:pStyle w:val="Compact"/>
            </w:pPr>
            <w:r>
              <w:t xml:space="preserve">Pays d'établissement</w:t>
            </w:r>
          </w:p>
        </w:tc>
        <w:tc>
          <w:tcPr/>
          <w:p>
            <w:pPr>
              <w:pStyle w:val="Compact"/>
            </w:pPr>
            <w:r>
              <w:t xml:space="preserve">[À CONFIRMER]</w:t>
            </w:r>
          </w:p>
        </w:tc>
      </w:tr>
      <w:tr>
        <w:tc>
          <w:tcPr/>
          <w:p>
            <w:pPr>
              <w:pStyle w:val="Compact"/>
            </w:pPr>
            <w:r>
              <w:t xml:space="preserve">Rôle</w:t>
            </w:r>
          </w:p>
        </w:tc>
        <w:tc>
          <w:tcPr/>
          <w:p>
            <w:pPr>
              <w:pStyle w:val="Compact"/>
            </w:pPr>
            <w:r>
              <w:t xml:space="preserve">Envoi d'emails de service (invitations, réinitialisations, notifications techniques)</w:t>
            </w:r>
          </w:p>
        </w:tc>
      </w:tr>
      <w:tr>
        <w:tc>
          <w:tcPr/>
          <w:p>
            <w:pPr>
              <w:pStyle w:val="Compact"/>
            </w:pPr>
            <w:r>
              <w:t xml:space="preserve">Opérations effectuées</w:t>
            </w:r>
          </w:p>
        </w:tc>
        <w:tc>
          <w:tcPr/>
          <w:p>
            <w:pPr>
              <w:pStyle w:val="Compact"/>
            </w:pPr>
            <w:r>
              <w:t xml:space="preserve">Acheminement des courriels de service</w:t>
            </w:r>
          </w:p>
        </w:tc>
      </w:tr>
      <w:tr>
        <w:tc>
          <w:tcPr/>
          <w:p>
            <w:pPr>
              <w:pStyle w:val="Compact"/>
            </w:pPr>
            <w:r>
              <w:t xml:space="preserve">Lieu de traitement / stockage</w:t>
            </w:r>
          </w:p>
        </w:tc>
        <w:tc>
          <w:tcPr/>
          <w:p>
            <w:pPr>
              <w:pStyle w:val="Compact"/>
            </w:pPr>
            <w:r>
              <w:t xml:space="preserve">[À CONFIRMER — UE privilégiée]</w:t>
            </w:r>
          </w:p>
        </w:tc>
      </w:tr>
      <w:tr>
        <w:tc>
          <w:tcPr/>
          <w:p>
            <w:pPr>
              <w:pStyle w:val="Compact"/>
            </w:pPr>
            <w:r>
              <w:t xml:space="preserve">Accès humain aux données</w:t>
            </w:r>
          </w:p>
        </w:tc>
        <w:tc>
          <w:tcPr/>
          <w:p>
            <w:pPr>
              <w:pStyle w:val="Compact"/>
            </w:pPr>
            <w:r>
              <w:rPr>
                <w:b/>
                <w:bCs/>
              </w:rPr>
              <w:t xml:space="preserve">Non</w:t>
            </w:r>
          </w:p>
        </w:tc>
      </w:tr>
      <w:tr>
        <w:tc>
          <w:tcPr/>
          <w:p>
            <w:pPr>
              <w:pStyle w:val="Compact"/>
            </w:pPr>
            <w:r>
              <w:t xml:space="preserve">Garanties contractuelles</w:t>
            </w:r>
          </w:p>
        </w:tc>
        <w:tc>
          <w:tcPr/>
          <w:p>
            <w:pPr>
              <w:pStyle w:val="Compact"/>
            </w:pPr>
            <w:r>
              <w:t xml:space="preserve">Contrat de service, DPA fournisseur, CCT si hors UE — [À CONFIRMER]</w:t>
            </w:r>
          </w:p>
        </w:tc>
      </w:tr>
    </w:tbl>
    <w:bookmarkEnd w:id="85"/>
    <w:bookmarkStart w:id="86" w:name="X2a3999304a2b98c303cb3c8bf84bf7852a985ad"/>
    <w:p>
      <w:pPr>
        <w:pStyle w:val="Heading3"/>
      </w:pPr>
      <w:r>
        <w:t xml:space="preserve">2.8 Supervision et supervision de sécurité</w:t>
      </w:r>
    </w:p>
    <w:p>
      <w:pPr>
        <w:pStyle w:val="FirstParagraph"/>
      </w:pPr>
      <w:r>
        <w:t xml:space="preserve">La supervision technique (queue, disque, certificats, dépendances) et la supervision de sécurité sont assurées</w:t>
      </w:r>
      <w:r>
        <w:t xml:space="preserve"> </w:t>
      </w:r>
      <w:r>
        <w:rPr>
          <w:b/>
          <w:bCs/>
        </w:rPr>
        <w:t xml:space="preserve">directement par OHADJA</w:t>
      </w:r>
      <w:r>
        <w:t xml:space="preserve">, sans prestataire tiers. Aucun sous-traitant ultérieur n'intervient à ce titre.</w:t>
      </w:r>
    </w:p>
    <w:bookmarkEnd w:id="86"/>
    <w:bookmarkEnd w:id="87"/>
    <w:bookmarkStart w:id="88" w:name="X0a7a632d6fa131b667612b4790ffc99111a837a"/>
    <w:p>
      <w:pPr>
        <w:pStyle w:val="Heading2"/>
      </w:pPr>
      <w:r>
        <w:t xml:space="preserve">3. Tableau de synthèse — Option A</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Sous-traitant</w:t>
            </w:r>
          </w:p>
        </w:tc>
        <w:tc>
          <w:tcPr/>
          <w:p>
            <w:pPr>
              <w:pStyle w:val="Compact"/>
            </w:pPr>
            <w:r>
              <w:t xml:space="preserve">Pays d'établissement</w:t>
            </w:r>
          </w:p>
        </w:tc>
        <w:tc>
          <w:tcPr/>
          <w:p>
            <w:pPr>
              <w:pStyle w:val="Compact"/>
            </w:pPr>
            <w:r>
              <w:t xml:space="preserve">Rôle</w:t>
            </w:r>
          </w:p>
        </w:tc>
        <w:tc>
          <w:tcPr/>
          <w:p>
            <w:pPr>
              <w:pStyle w:val="Compact"/>
            </w:pPr>
            <w:r>
              <w:t xml:space="preserve">Traitement / stockage</w:t>
            </w:r>
          </w:p>
        </w:tc>
        <w:tc>
          <w:tcPr/>
          <w:p>
            <w:pPr>
              <w:pStyle w:val="Compact"/>
            </w:pPr>
            <w:r>
              <w:t xml:space="preserve">Accès humain</w:t>
            </w:r>
          </w:p>
        </w:tc>
      </w:tr>
      <w:tr>
        <w:tc>
          <w:tcPr/>
          <w:p>
            <w:pPr>
              <w:pStyle w:val="Compact"/>
            </w:pPr>
            <w:r>
              <w:t xml:space="preserve">Hostinger</w:t>
            </w:r>
          </w:p>
        </w:tc>
        <w:tc>
          <w:tcPr/>
          <w:p>
            <w:pPr>
              <w:pStyle w:val="Compact"/>
            </w:pPr>
            <w:r>
              <w:t xml:space="preserve">Lituanie (UE)</w:t>
            </w:r>
          </w:p>
        </w:tc>
        <w:tc>
          <w:tcPr/>
          <w:p>
            <w:pPr>
              <w:pStyle w:val="Compact"/>
            </w:pPr>
            <w:r>
              <w:t xml:space="preserve">Hébergement</w:t>
            </w:r>
          </w:p>
        </w:tc>
        <w:tc>
          <w:tcPr/>
          <w:p>
            <w:pPr>
              <w:pStyle w:val="Compact"/>
            </w:pPr>
            <w:r>
              <w:t xml:space="preserve">France / France</w:t>
            </w:r>
          </w:p>
        </w:tc>
        <w:tc>
          <w:tcPr/>
          <w:p>
            <w:pPr>
              <w:pStyle w:val="Compact"/>
            </w:pPr>
            <w:r>
              <w:t xml:space="preserve">Non</w:t>
            </w:r>
          </w:p>
        </w:tc>
      </w:tr>
      <w:tr>
        <w:tc>
          <w:tcPr/>
          <w:p>
            <w:pPr>
              <w:pStyle w:val="Compact"/>
            </w:pPr>
            <w:r>
              <w:t xml:space="preserve">Scaleway</w:t>
            </w:r>
          </w:p>
        </w:tc>
        <w:tc>
          <w:tcPr/>
          <w:p>
            <w:pPr>
              <w:pStyle w:val="Compact"/>
            </w:pPr>
            <w:r>
              <w:t xml:space="preserve">France (UE)</w:t>
            </w:r>
          </w:p>
        </w:tc>
        <w:tc>
          <w:tcPr/>
          <w:p>
            <w:pPr>
              <w:pStyle w:val="Compact"/>
            </w:pPr>
            <w:r>
              <w:t xml:space="preserve">Sauvegarde chiffrée</w:t>
            </w:r>
          </w:p>
        </w:tc>
        <w:tc>
          <w:tcPr/>
          <w:p>
            <w:pPr>
              <w:pStyle w:val="Compact"/>
            </w:pPr>
            <w:r>
              <w:t xml:space="preserve">France (UE)</w:t>
            </w:r>
          </w:p>
        </w:tc>
        <w:tc>
          <w:tcPr/>
          <w:p>
            <w:pPr>
              <w:pStyle w:val="Compact"/>
            </w:pPr>
            <w:r>
              <w:t xml:space="preserve">Non (chiffré avant envoi)</w:t>
            </w:r>
          </w:p>
        </w:tc>
      </w:tr>
      <w:tr>
        <w:tc>
          <w:tcPr/>
          <w:p>
            <w:pPr>
              <w:pStyle w:val="Compact"/>
            </w:pPr>
            <w:r>
              <w:t xml:space="preserve">GPU dédié / Vast.ai</w:t>
            </w:r>
          </w:p>
        </w:tc>
        <w:tc>
          <w:tcPr/>
          <w:p>
            <w:pPr>
              <w:pStyle w:val="Compact"/>
            </w:pPr>
            <w:r>
              <w:t xml:space="preserve">UE / USA (place de marché)</w:t>
            </w:r>
          </w:p>
        </w:tc>
        <w:tc>
          <w:tcPr/>
          <w:p>
            <w:pPr>
              <w:pStyle w:val="Compact"/>
            </w:pPr>
            <w:r>
              <w:t xml:space="preserve">Transcription, diarisation</w:t>
            </w:r>
          </w:p>
        </w:tc>
        <w:tc>
          <w:tcPr/>
          <w:p>
            <w:pPr>
              <w:pStyle w:val="Compact"/>
            </w:pPr>
            <w:r>
              <w:t xml:space="preserve">UE lorsque requis / pas de stockage durable</w:t>
            </w:r>
          </w:p>
        </w:tc>
        <w:tc>
          <w:tcPr/>
          <w:p>
            <w:pPr>
              <w:pStyle w:val="Compact"/>
            </w:pPr>
            <w:r>
              <w:t xml:space="preserve">Non</w:t>
            </w:r>
          </w:p>
        </w:tc>
      </w:tr>
      <w:tr>
        <w:tc>
          <w:tcPr/>
          <w:p>
            <w:pPr>
              <w:pStyle w:val="Compact"/>
            </w:pPr>
            <w:r>
              <w:rPr>
                <w:b/>
                <w:bCs/>
              </w:rPr>
              <w:t xml:space="preserve">Serveurs vLLM maîtrisés</w:t>
            </w:r>
          </w:p>
        </w:tc>
        <w:tc>
          <w:tcPr/>
          <w:p>
            <w:pPr>
              <w:pStyle w:val="Compact"/>
            </w:pPr>
            <w:r>
              <w:t xml:space="preserve">France / UE</w:t>
            </w:r>
          </w:p>
        </w:tc>
        <w:tc>
          <w:tcPr/>
          <w:p>
            <w:pPr>
              <w:pStyle w:val="Compact"/>
            </w:pPr>
            <w:r>
              <w:rPr>
                <w:b/>
                <w:bCs/>
              </w:rPr>
              <w:t xml:space="preserve">Inférence IA — voie primaire</w:t>
            </w:r>
          </w:p>
        </w:tc>
        <w:tc>
          <w:tcPr/>
          <w:p>
            <w:pPr>
              <w:pStyle w:val="Compact"/>
            </w:pPr>
            <w:r>
              <w:t xml:space="preserve">UE (Strasbourg / Paris) / pas de stockage durable</w:t>
            </w:r>
          </w:p>
        </w:tc>
        <w:tc>
          <w:tcPr/>
          <w:p>
            <w:pPr>
              <w:pStyle w:val="Compact"/>
            </w:pPr>
            <w:r>
              <w:t xml:space="preserve">Non</w:t>
            </w:r>
          </w:p>
        </w:tc>
      </w:tr>
      <w:tr>
        <w:tc>
          <w:tcPr/>
          <w:p>
            <w:pPr>
              <w:pStyle w:val="Compact"/>
            </w:pPr>
            <w:r>
              <w:t xml:space="preserve">OpenRouter</w:t>
            </w:r>
          </w:p>
        </w:tc>
        <w:tc>
          <w:tcPr/>
          <w:p>
            <w:pPr>
              <w:pStyle w:val="Compact"/>
            </w:pPr>
            <w:r>
              <w:t xml:space="preserve">USA</w:t>
            </w:r>
          </w:p>
        </w:tc>
        <w:tc>
          <w:tcPr/>
          <w:p>
            <w:pPr>
              <w:pStyle w:val="Compact"/>
            </w:pPr>
            <w:r>
              <w:t xml:space="preserve">Passerelle IA —</w:t>
            </w:r>
            <w:r>
              <w:t xml:space="preserve"> </w:t>
            </w:r>
            <w:r>
              <w:rPr>
                <w:b/>
                <w:bCs/>
              </w:rPr>
              <w:t xml:space="preserve">secours (failover), désactivable</w:t>
            </w:r>
          </w:p>
        </w:tc>
        <w:tc>
          <w:tcPr/>
          <w:p>
            <w:pPr>
              <w:pStyle w:val="Compact"/>
            </w:pPr>
            <w:r>
              <w:t xml:space="preserve">Routage US possible / pas de stockage durable</w:t>
            </w:r>
          </w:p>
        </w:tc>
        <w:tc>
          <w:tcPr/>
          <w:p>
            <w:pPr>
              <w:pStyle w:val="Compact"/>
            </w:pPr>
            <w:r>
              <w:t xml:space="preserve">Non</w:t>
            </w:r>
          </w:p>
        </w:tc>
      </w:tr>
      <w:tr>
        <w:tc>
          <w:tcPr/>
          <w:p>
            <w:pPr>
              <w:pStyle w:val="Compact"/>
            </w:pPr>
            <w:r>
              <w:t xml:space="preserve">Fournisseurs de modèles</w:t>
            </w:r>
          </w:p>
        </w:tc>
        <w:tc>
          <w:tcPr/>
          <w:p>
            <w:pPr>
              <w:pStyle w:val="Compact"/>
            </w:pPr>
            <w:r>
              <w:t xml:space="preserve">USA</w:t>
            </w:r>
          </w:p>
        </w:tc>
        <w:tc>
          <w:tcPr/>
          <w:p>
            <w:pPr>
              <w:pStyle w:val="Compact"/>
            </w:pPr>
            <w:r>
              <w:t xml:space="preserve">Inférence LLM —</w:t>
            </w:r>
            <w:r>
              <w:t xml:space="preserve"> </w:t>
            </w:r>
            <w:r>
              <w:rPr>
                <w:b/>
                <w:bCs/>
              </w:rPr>
              <w:t xml:space="preserve">secours uniquement</w:t>
            </w:r>
          </w:p>
        </w:tc>
        <w:tc>
          <w:tcPr/>
          <w:p>
            <w:pPr>
              <w:pStyle w:val="Compact"/>
            </w:pPr>
            <w:r>
              <w:t xml:space="preserve">USA/UE selon modèle / rétention limitée</w:t>
            </w:r>
          </w:p>
        </w:tc>
        <w:tc>
          <w:tcPr/>
          <w:p>
            <w:pPr>
              <w:pStyle w:val="Compact"/>
            </w:pPr>
            <w:r>
              <w:t xml:space="preserve">Non (côté OHADJA)</w:t>
            </w:r>
          </w:p>
        </w:tc>
      </w:tr>
      <w:tr>
        <w:tc>
          <w:tcPr/>
          <w:p>
            <w:pPr>
              <w:pStyle w:val="Compact"/>
            </w:pPr>
            <w:r>
              <w:t xml:space="preserve">Email transactionnel (si activé)</w:t>
            </w:r>
          </w:p>
        </w:tc>
        <w:tc>
          <w:tcPr/>
          <w:p>
            <w:pPr>
              <w:pStyle w:val="Compact"/>
            </w:pPr>
            <w:r>
              <w:t xml:space="preserve">[À CONFIRMER]</w:t>
            </w:r>
          </w:p>
        </w:tc>
        <w:tc>
          <w:tcPr/>
          <w:p>
            <w:pPr>
              <w:pStyle w:val="Compact"/>
            </w:pPr>
            <w:r>
              <w:t xml:space="preserve">Emails de service</w:t>
            </w:r>
          </w:p>
        </w:tc>
        <w:tc>
          <w:tcPr/>
          <w:p>
            <w:pPr>
              <w:pStyle w:val="Compact"/>
            </w:pPr>
            <w:r>
              <w:t xml:space="preserve">[À CONFIRMER]</w:t>
            </w:r>
          </w:p>
        </w:tc>
        <w:tc>
          <w:tcPr/>
          <w:p>
            <w:pPr>
              <w:pStyle w:val="Compact"/>
            </w:pPr>
            <w:r>
              <w:t xml:space="preserve">Non</w:t>
            </w:r>
          </w:p>
        </w:tc>
      </w:tr>
    </w:tbl>
    <w:bookmarkEnd w:id="88"/>
    <w:bookmarkStart w:id="89" w:name="X08845a517ee1e7974c0c5d43964a3ce7be5e432"/>
    <w:p>
      <w:pPr>
        <w:pStyle w:val="Heading2"/>
      </w:pPr>
      <w:r>
        <w:t xml:space="preserve">4. Option B — variantes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Variante Option B</w:t>
            </w:r>
          </w:p>
        </w:tc>
        <w:tc>
          <w:tcPr/>
          <w:p>
            <w:pPr>
              <w:pStyle w:val="Compact"/>
            </w:pPr>
            <w:r>
              <w:t xml:space="preserve">Sous-traitants ultérieurs</w:t>
            </w:r>
          </w:p>
        </w:tc>
      </w:tr>
      <w:tr>
        <w:tc>
          <w:tcPr/>
          <w:p>
            <w:pPr>
              <w:pStyle w:val="Compact"/>
            </w:pPr>
            <w:r>
              <w:rPr>
                <w:b/>
                <w:bCs/>
              </w:rPr>
              <w:t xml:space="preserve">On-premise isolée</w:t>
            </w:r>
            <w:r>
              <w:t xml:space="preserve"> </w:t>
            </w:r>
            <w:r>
              <w:t xml:space="preserve">(zéro cloud)</w:t>
            </w:r>
          </w:p>
        </w:tc>
        <w:tc>
          <w:tcPr/>
          <w:p>
            <w:pPr>
              <w:pStyle w:val="Compact"/>
            </w:pPr>
            <w:r>
              <w:rPr>
                <w:b/>
                <w:bCs/>
              </w:rPr>
              <w:t xml:space="preserve">Aucun.</w:t>
            </w:r>
            <w:r>
              <w:t xml:space="preserve"> </w:t>
            </w:r>
            <w:r>
              <w:t xml:space="preserve">Application, base, worker GPU de transcription et LLM auto-hébergé s'exécutent chez le Client. Aucun flux sortant requis pour le fonctionnement nominal</w:t>
            </w:r>
          </w:p>
        </w:tc>
      </w:tr>
      <w:tr>
        <w:tc>
          <w:tcPr/>
          <w:p>
            <w:pPr>
              <w:pStyle w:val="Compact"/>
            </w:pPr>
            <w:r>
              <w:rPr>
                <w:b/>
                <w:bCs/>
              </w:rPr>
              <w:t xml:space="preserve">On-premise avec IA cloud optionnelle</w:t>
            </w:r>
          </w:p>
        </w:tc>
        <w:tc>
          <w:tcPr/>
          <w:p>
            <w:pPr>
              <w:pStyle w:val="Compact"/>
            </w:pPr>
            <w:r>
              <w:t xml:space="preserve">Liste réduite : uniquement le(s) fournisseur(s) IA activé(s) par le Client (OpenRouter + fournisseur de modèle), si le Client choisit d'utiliser un LLM cloud plutôt qu'auto-hébergé. Hébergement, sauvegarde et transcription restent internes</w:t>
            </w:r>
          </w:p>
        </w:tc>
      </w:tr>
    </w:tbl>
    <w:bookmarkEnd w:id="89"/>
    <w:bookmarkStart w:id="90" w:name="X30e8a8b53a585b3c4babd4e4f4bf9ffca2de72e"/>
    <w:p>
      <w:pPr>
        <w:pStyle w:val="Heading2"/>
      </w:pPr>
      <w:r>
        <w:t xml:space="preserve">5. Procédure d'évolution de la liste</w:t>
      </w:r>
    </w:p>
    <w:p>
      <w:pPr>
        <w:pStyle w:val="FirstParagraph"/>
      </w:pPr>
      <w:r>
        <w:t xml:space="preserve">Conformément au §6 du DPA (art. 28.2 RGPD) :</w:t>
      </w:r>
    </w:p>
    <w:p>
      <w:pPr>
        <w:pStyle w:val="Compact"/>
        <w:numPr>
          <w:ilvl w:val="0"/>
          <w:numId w:val="1019"/>
        </w:numPr>
      </w:pPr>
      <w:r>
        <w:t xml:space="preserve">OHADJA informe le Client de tout</w:t>
      </w:r>
      <w:r>
        <w:t xml:space="preserve"> </w:t>
      </w:r>
      <w:r>
        <w:rPr>
          <w:b/>
          <w:bCs/>
        </w:rPr>
        <w:t xml:space="preserve">ajout ou remplacement</w:t>
      </w:r>
      <w:r>
        <w:t xml:space="preserve"> </w:t>
      </w:r>
      <w:r>
        <w:t xml:space="preserve">de sous-traitant ultérieur au moins</w:t>
      </w:r>
      <w:r>
        <w:t xml:space="preserve"> </w:t>
      </w:r>
      <w:r>
        <w:rPr>
          <w:b/>
          <w:bCs/>
        </w:rPr>
        <w:t xml:space="preserve">trente (30) jours calendaires</w:t>
      </w:r>
      <w:r>
        <w:t xml:space="preserve"> </w:t>
      </w:r>
      <w:r>
        <w:t xml:space="preserve">avant sa mise en œuvre, par un moyen écrit permettant d'en conserver la preuve.</w:t>
      </w:r>
    </w:p>
    <w:p>
      <w:pPr>
        <w:pStyle w:val="Compact"/>
        <w:numPr>
          <w:ilvl w:val="0"/>
          <w:numId w:val="1019"/>
        </w:numPr>
      </w:pPr>
      <w:r>
        <w:t xml:space="preserve">Le Client peut formuler une</w:t>
      </w:r>
      <w:r>
        <w:t xml:space="preserve"> </w:t>
      </w:r>
      <w:r>
        <w:rPr>
          <w:b/>
          <w:bCs/>
        </w:rPr>
        <w:t xml:space="preserve">objection écrite, motivée et raisonnable</w:t>
      </w:r>
      <w:r>
        <w:t xml:space="preserve"> </w:t>
      </w:r>
      <w:r>
        <w:t xml:space="preserve">dans ce délai de 30 jours.</w:t>
      </w:r>
    </w:p>
    <w:p>
      <w:pPr>
        <w:pStyle w:val="Compact"/>
        <w:numPr>
          <w:ilvl w:val="0"/>
          <w:numId w:val="1019"/>
        </w:numPr>
      </w:pPr>
      <w:r>
        <w:t xml:space="preserve">En cas d'objection, les parties se concertent de bonne foi ; à défaut de solution, le Client peut résilier la partie concernée du service dans les conditions du contrat principal.</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90"/>
    <w:bookmarkEnd w:id="91"/>
    <w:bookmarkStart w:id="102" w:name="Xb435d4e7743c18b26c55236ab6aa53f804247e6"/>
    <w:p>
      <w:pPr>
        <w:pStyle w:val="Heading1"/>
      </w:pPr>
      <w:r>
        <w:t xml:space="preserve">Transferts et accès hors EEE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OHA-RGPD-04</w:t>
            </w:r>
          </w:p>
        </w:tc>
      </w:tr>
      <w:tr>
        <w:tc>
          <w:tcPr/>
          <w:p>
            <w:pPr>
              <w:pStyle w:val="Compact"/>
            </w:pPr>
            <w:r>
              <w:t xml:space="preserve">Objet</w:t>
            </w:r>
          </w:p>
        </w:tc>
        <w:tc>
          <w:tcPr/>
          <w:p>
            <w:pPr>
              <w:pStyle w:val="Compact"/>
            </w:pPr>
            <w:r>
              <w:t xml:space="preserve">Transferts internationaux et accès hors EEE : entités, données, mécanismes, mesures</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Destinataire</w:t>
            </w:r>
          </w:p>
        </w:tc>
        <w:tc>
          <w:tcPr/>
          <w:p>
            <w:pPr>
              <w:pStyle w:val="Compact"/>
            </w:pPr>
            <w:r>
              <w:t xml:space="preserve">Organisation cliente (document type)</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92" w:name="Xa89a5fc162ec66b9f66741ff8b73c0ba0340e32"/>
    <w:p>
      <w:pPr>
        <w:pStyle w:val="Heading2"/>
      </w:pPr>
      <w:r>
        <w:t xml:space="preserve">1. Objet et principe de franchise</w:t>
      </w:r>
    </w:p>
    <w:p>
      <w:pPr>
        <w:pStyle w:val="FirstParagraph"/>
      </w:pPr>
      <w:r>
        <w:t xml:space="preserve">Le présent document recense, sans dissimulation, l'ensemble des transferts et accès aux données susceptibles de sortir de l'Espace économique européen (EEE) dans le cadre de TranscribIA, et détaille les mécanismes juridiques et les mesures techniques mis en œuvre pour les encadrer au titre du chapitre V du RGPD.</w:t>
      </w:r>
    </w:p>
    <w:p>
      <w:pPr>
        <w:pStyle w:val="BodyText"/>
      </w:pPr>
      <w:r>
        <w:t xml:space="preserve">Point de méthode : le stockage principal, les sauvegardes (Scaleway, France) et l'inférence IA en voie primaire (serveurs vLLM maîtrisés en UE, principalement Strasbourg et Paris) demeurent</w:t>
      </w:r>
      <w:r>
        <w:t xml:space="preserve"> </w:t>
      </w:r>
      <w:r>
        <w:rPr>
          <w:b/>
          <w:bCs/>
        </w:rPr>
        <w:t xml:space="preserve">en UE, sans aucun transfert</w:t>
      </w:r>
      <w:r>
        <w:t xml:space="preserve">. Les situations « hors EEE » se limitent donc à des</w:t>
      </w:r>
      <w:r>
        <w:t xml:space="preserve"> </w:t>
      </w:r>
      <w:r>
        <w:rPr>
          <w:b/>
          <w:bCs/>
        </w:rPr>
        <w:t xml:space="preserve">flux techniques (accès machine)</w:t>
      </w:r>
      <w:r>
        <w:t xml:space="preserve"> </w:t>
      </w:r>
      <w:r>
        <w:t xml:space="preserve">en Option A :</w:t>
      </w:r>
    </w:p>
    <w:p>
      <w:pPr>
        <w:pStyle w:val="Compact"/>
        <w:numPr>
          <w:ilvl w:val="0"/>
          <w:numId w:val="1020"/>
        </w:numPr>
      </w:pPr>
      <w:r>
        <w:t xml:space="preserve">la</w:t>
      </w:r>
      <w:r>
        <w:t xml:space="preserve"> </w:t>
      </w:r>
      <w:r>
        <w:rPr>
          <w:b/>
          <w:bCs/>
        </w:rPr>
        <w:t xml:space="preserve">voie de secours IA</w:t>
      </w:r>
      <w:r>
        <w:t xml:space="preserve"> </w:t>
      </w:r>
      <w:r>
        <w:t xml:space="preserve">(OpenRouter et fournisseurs de modèles américains), qui n'intervient qu'en cas d'indisponibilité de la voie primaire et est</w:t>
      </w:r>
      <w:r>
        <w:t xml:space="preserve"> </w:t>
      </w:r>
      <w:r>
        <w:rPr>
          <w:b/>
          <w:bCs/>
        </w:rPr>
        <w:t xml:space="preserve">désactivable par organisation</w:t>
      </w:r>
      <w:r>
        <w:t xml:space="preserve"> </w:t>
      </w:r>
      <w:r>
        <w:t xml:space="preserve">;</w:t>
      </w:r>
    </w:p>
    <w:p>
      <w:pPr>
        <w:pStyle w:val="Compact"/>
        <w:numPr>
          <w:ilvl w:val="0"/>
          <w:numId w:val="1020"/>
        </w:numPr>
      </w:pPr>
      <w:r>
        <w:t xml:space="preserve">le</w:t>
      </w:r>
      <w:r>
        <w:t xml:space="preserve"> </w:t>
      </w:r>
      <w:r>
        <w:rPr>
          <w:b/>
          <w:bCs/>
        </w:rPr>
        <w:t xml:space="preserve">calcul GPU Vast.ai</w:t>
      </w:r>
      <w:r>
        <w:t xml:space="preserve"> </w:t>
      </w:r>
      <w:r>
        <w:t xml:space="preserve">lorsqu'il est activé (machines sélectionnées en UE lorsque requis).</w:t>
      </w:r>
    </w:p>
    <w:p>
      <w:pPr>
        <w:pStyle w:val="FirstParagraph"/>
      </w:pPr>
      <w:r>
        <w:t xml:space="preserve">Les</w:t>
      </w:r>
      <w:r>
        <w:t xml:space="preserve"> </w:t>
      </w:r>
      <w:r>
        <w:rPr>
          <w:b/>
          <w:bCs/>
        </w:rPr>
        <w:t xml:space="preserve">accès humains d'administration</w:t>
      </w:r>
      <w:r>
        <w:t xml:space="preserve"> </w:t>
      </w:r>
      <w:r>
        <w:t xml:space="preserve">sont, quant à eux, réalisés</w:t>
      </w:r>
      <w:r>
        <w:t xml:space="preserve"> </w:t>
      </w:r>
      <w:r>
        <w:rPr>
          <w:b/>
          <w:bCs/>
        </w:rPr>
        <w:t xml:space="preserve">exclusivement depuis la France / l'UE</w:t>
      </w:r>
      <w:r>
        <w:t xml:space="preserve"> </w:t>
      </w:r>
      <w:r>
        <w:t xml:space="preserve">(engagement contractuel — section 7) : ils ne constituent donc</w:t>
      </w:r>
      <w:r>
        <w:t xml:space="preserve"> </w:t>
      </w:r>
      <w:r>
        <w:rPr>
          <w:b/>
          <w:bCs/>
        </w:rPr>
        <w:t xml:space="preserve">pas</w:t>
      </w:r>
      <w:r>
        <w:t xml:space="preserve"> </w:t>
      </w:r>
      <w:r>
        <w:t xml:space="preserve">un accès depuis un pays tiers.</w:t>
      </w:r>
    </w:p>
    <w:p>
      <w:pPr>
        <w:pStyle w:val="BodyText"/>
      </w:pPr>
      <w:r>
        <w:t xml:space="preserve">En</w:t>
      </w:r>
      <w:r>
        <w:t xml:space="preserve"> </w:t>
      </w:r>
      <w:r>
        <w:rPr>
          <w:b/>
          <w:bCs/>
        </w:rPr>
        <w:t xml:space="preserve">Option B isolée</w:t>
      </w:r>
      <w:r>
        <w:t xml:space="preserve">, il n'existe</w:t>
      </w:r>
      <w:r>
        <w:t xml:space="preserve"> </w:t>
      </w:r>
      <w:r>
        <w:rPr>
          <w:b/>
          <w:bCs/>
        </w:rPr>
        <w:t xml:space="preserve">aucun transfert ni accès hors EEE</w:t>
      </w:r>
      <w:r>
        <w:t xml:space="preserve"> </w:t>
      </w:r>
      <w:r>
        <w:t xml:space="preserve">(section 9).</w:t>
      </w:r>
    </w:p>
    <w:bookmarkEnd w:id="92"/>
    <w:bookmarkStart w:id="93" w:name="X7f2e6a9bf6ee1c3ce5e3abb00a360282c16220d"/>
    <w:p>
      <w:pPr>
        <w:pStyle w:val="Heading2"/>
      </w:pPr>
      <w:r>
        <w:t xml:space="preserve">2. (a) Pays et entités concernés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Entité</w:t>
            </w:r>
          </w:p>
        </w:tc>
        <w:tc>
          <w:tcPr/>
          <w:p>
            <w:pPr>
              <w:pStyle w:val="Compact"/>
            </w:pPr>
            <w:r>
              <w:t xml:space="preserve">Pays</w:t>
            </w:r>
          </w:p>
        </w:tc>
        <w:tc>
          <w:tcPr/>
          <w:p>
            <w:pPr>
              <w:pStyle w:val="Compact"/>
            </w:pPr>
            <w:r>
              <w:t xml:space="preserve">Type</w:t>
            </w:r>
          </w:p>
        </w:tc>
        <w:tc>
          <w:tcPr/>
          <w:p>
            <w:pPr>
              <w:pStyle w:val="Compact"/>
            </w:pPr>
            <w:r>
              <w:t xml:space="preserve">Situation</w:t>
            </w:r>
          </w:p>
        </w:tc>
      </w:tr>
      <w:tr>
        <w:tc>
          <w:tcPr/>
          <w:p>
            <w:pPr>
              <w:pStyle w:val="Compact"/>
            </w:pPr>
            <w:r>
              <w:rPr>
                <w:i/>
                <w:iCs/>
              </w:rPr>
              <w:t xml:space="preserve">(voie primaire IA : serveurs vLLM maîtrisés)</w:t>
            </w:r>
          </w:p>
        </w:tc>
        <w:tc>
          <w:tcPr/>
          <w:p>
            <w:pPr>
              <w:pStyle w:val="Compact"/>
            </w:pPr>
            <w:r>
              <w:rPr>
                <w:i/>
                <w:iCs/>
              </w:rPr>
              <w:t xml:space="preserve">UE — Strasbourg / Paris</w:t>
            </w:r>
          </w:p>
        </w:tc>
        <w:tc>
          <w:tcPr/>
          <w:p>
            <w:pPr>
              <w:pStyle w:val="Compact"/>
            </w:pPr>
            <w:r>
              <w:rPr>
                <w:i/>
                <w:iCs/>
              </w:rPr>
              <w:t xml:space="preserve">Traitement UE</w:t>
            </w:r>
          </w:p>
        </w:tc>
        <w:tc>
          <w:tcPr/>
          <w:p>
            <w:pPr>
              <w:pStyle w:val="Compact"/>
            </w:pPr>
            <w:r>
              <w:rPr>
                <w:i/>
                <w:iCs/>
              </w:rPr>
              <w:t xml:space="preserve">Aucun transfert hors EEE (rappel)</w:t>
            </w:r>
          </w:p>
        </w:tc>
      </w:tr>
      <w:tr>
        <w:tc>
          <w:tcPr/>
          <w:p>
            <w:pPr>
              <w:pStyle w:val="Compact"/>
            </w:pPr>
            <w:r>
              <w:rPr>
                <w:i/>
                <w:iCs/>
              </w:rPr>
              <w:t xml:space="preserve">(sauvegardes : Scaleway)</w:t>
            </w:r>
          </w:p>
        </w:tc>
        <w:tc>
          <w:tcPr/>
          <w:p>
            <w:pPr>
              <w:pStyle w:val="Compact"/>
            </w:pPr>
            <w:r>
              <w:rPr>
                <w:i/>
                <w:iCs/>
              </w:rPr>
              <w:t xml:space="preserve">France (UE)</w:t>
            </w:r>
          </w:p>
        </w:tc>
        <w:tc>
          <w:tcPr/>
          <w:p>
            <w:pPr>
              <w:pStyle w:val="Compact"/>
            </w:pPr>
            <w:r>
              <w:rPr>
                <w:i/>
                <w:iCs/>
              </w:rPr>
              <w:t xml:space="preserve">Stockage UE</w:t>
            </w:r>
          </w:p>
        </w:tc>
        <w:tc>
          <w:tcPr/>
          <w:p>
            <w:pPr>
              <w:pStyle w:val="Compact"/>
            </w:pPr>
            <w:r>
              <w:rPr>
                <w:i/>
                <w:iCs/>
              </w:rPr>
              <w:t xml:space="preserve">Aucun transfert hors EEE (rappel)</w:t>
            </w:r>
          </w:p>
        </w:tc>
      </w:tr>
      <w:tr>
        <w:tc>
          <w:tcPr/>
          <w:p>
            <w:pPr>
              <w:pStyle w:val="Compact"/>
            </w:pPr>
            <w:r>
              <w:t xml:space="preserve">OpenRouter Inc.</w:t>
            </w:r>
          </w:p>
        </w:tc>
        <w:tc>
          <w:tcPr/>
          <w:p>
            <w:pPr>
              <w:pStyle w:val="Compact"/>
            </w:pPr>
            <w:r>
              <w:t xml:space="preserve">USA</w:t>
            </w:r>
          </w:p>
        </w:tc>
        <w:tc>
          <w:tcPr/>
          <w:p>
            <w:pPr>
              <w:pStyle w:val="Compact"/>
            </w:pPr>
            <w:r>
              <w:t xml:space="preserve">Flux technique (machine)</w:t>
            </w:r>
          </w:p>
        </w:tc>
        <w:tc>
          <w:tcPr/>
          <w:p>
            <w:pPr>
              <w:pStyle w:val="Compact"/>
            </w:pPr>
            <w:r>
              <w:t xml:space="preserve">Passerelle IA</w:t>
            </w:r>
            <w:r>
              <w:t xml:space="preserve"> </w:t>
            </w:r>
            <w:r>
              <w:rPr>
                <w:b/>
                <w:bCs/>
              </w:rPr>
              <w:t xml:space="preserve">en secours (failover), désactivable</w:t>
            </w:r>
          </w:p>
        </w:tc>
      </w:tr>
      <w:tr>
        <w:tc>
          <w:tcPr/>
          <w:p>
            <w:pPr>
              <w:pStyle w:val="Compact"/>
            </w:pPr>
            <w:r>
              <w:t xml:space="preserve">Anthropic</w:t>
            </w:r>
          </w:p>
        </w:tc>
        <w:tc>
          <w:tcPr/>
          <w:p>
            <w:pPr>
              <w:pStyle w:val="Compact"/>
            </w:pPr>
            <w:r>
              <w:t xml:space="preserve">USA</w:t>
            </w:r>
          </w:p>
        </w:tc>
        <w:tc>
          <w:tcPr/>
          <w:p>
            <w:pPr>
              <w:pStyle w:val="Compact"/>
            </w:pPr>
            <w:r>
              <w:t xml:space="preserve">Flux technique (machine)</w:t>
            </w:r>
          </w:p>
        </w:tc>
        <w:tc>
          <w:tcPr/>
          <w:p>
            <w:pPr>
              <w:pStyle w:val="Compact"/>
            </w:pPr>
            <w:r>
              <w:t xml:space="preserve">Fournisseur de modèle via OpenRouter —</w:t>
            </w:r>
            <w:r>
              <w:t xml:space="preserve"> </w:t>
            </w:r>
            <w:r>
              <w:rPr>
                <w:b/>
                <w:bCs/>
              </w:rPr>
              <w:t xml:space="preserve">secours uniquement</w:t>
            </w:r>
          </w:p>
        </w:tc>
      </w:tr>
      <w:tr>
        <w:tc>
          <w:tcPr/>
          <w:p>
            <w:pPr>
              <w:pStyle w:val="Compact"/>
            </w:pPr>
            <w:r>
              <w:t xml:space="preserve">OpenAI</w:t>
            </w:r>
          </w:p>
        </w:tc>
        <w:tc>
          <w:tcPr/>
          <w:p>
            <w:pPr>
              <w:pStyle w:val="Compact"/>
            </w:pPr>
            <w:r>
              <w:t xml:space="preserve">USA</w:t>
            </w:r>
          </w:p>
        </w:tc>
        <w:tc>
          <w:tcPr/>
          <w:p>
            <w:pPr>
              <w:pStyle w:val="Compact"/>
            </w:pPr>
            <w:r>
              <w:t xml:space="preserve">Flux technique (machine)</w:t>
            </w:r>
          </w:p>
        </w:tc>
        <w:tc>
          <w:tcPr/>
          <w:p>
            <w:pPr>
              <w:pStyle w:val="Compact"/>
            </w:pPr>
            <w:r>
              <w:t xml:space="preserve">Fournisseur de modèle via OpenRouter —</w:t>
            </w:r>
            <w:r>
              <w:t xml:space="preserve"> </w:t>
            </w:r>
            <w:r>
              <w:rPr>
                <w:b/>
                <w:bCs/>
              </w:rPr>
              <w:t xml:space="preserve">secours uniquement</w:t>
            </w:r>
          </w:p>
        </w:tc>
      </w:tr>
      <w:tr>
        <w:tc>
          <w:tcPr/>
          <w:p>
            <w:pPr>
              <w:pStyle w:val="Compact"/>
            </w:pPr>
            <w:r>
              <w:t xml:space="preserve">Vast.ai</w:t>
            </w:r>
          </w:p>
        </w:tc>
        <w:tc>
          <w:tcPr/>
          <w:p>
            <w:pPr>
              <w:pStyle w:val="Compact"/>
            </w:pPr>
            <w:r>
              <w:t xml:space="preserve">USA (place de marché)</w:t>
            </w:r>
          </w:p>
        </w:tc>
        <w:tc>
          <w:tcPr/>
          <w:p>
            <w:pPr>
              <w:pStyle w:val="Compact"/>
            </w:pPr>
            <w:r>
              <w:t xml:space="preserve">Flux technique (machine)</w:t>
            </w:r>
          </w:p>
        </w:tc>
        <w:tc>
          <w:tcPr/>
          <w:p>
            <w:pPr>
              <w:pStyle w:val="Compact"/>
            </w:pPr>
            <w:r>
              <w:t xml:space="preserve">Calcul GPU lorsque activé — machines sélectionnées en UE lorsque requis</w:t>
            </w:r>
          </w:p>
        </w:tc>
      </w:tr>
    </w:tbl>
    <w:p>
      <w:pPr>
        <w:pStyle w:val="BlockText"/>
      </w:pPr>
      <w:r>
        <w:t xml:space="preserve">Il n'y a</w:t>
      </w:r>
      <w:r>
        <w:t xml:space="preserve"> </w:t>
      </w:r>
      <w:r>
        <w:rPr>
          <w:b/>
          <w:bCs/>
        </w:rPr>
        <w:t xml:space="preserve">aucun accès humain depuis un pays tiers</w:t>
      </w:r>
      <w:r>
        <w:t xml:space="preserve"> </w:t>
      </w:r>
      <w:r>
        <w:t xml:space="preserve">: l'administration et le support relèvent d'OHADJA (établie à Paris) et sont réalisés exclusivement depuis la France / l'UE (section 7).</w:t>
      </w:r>
    </w:p>
    <w:bookmarkEnd w:id="93"/>
    <w:bookmarkStart w:id="94" w:name="X8a6ffe354f3a635abaebe378335f031f94ddf4f"/>
    <w:p>
      <w:pPr>
        <w:pStyle w:val="Heading2"/>
      </w:pPr>
      <w:r>
        <w:t xml:space="preserve">3. (b) Catégories de données accessibles par entité</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Entité</w:t>
            </w:r>
          </w:p>
        </w:tc>
        <w:tc>
          <w:tcPr/>
          <w:p>
            <w:pPr>
              <w:pStyle w:val="Compact"/>
            </w:pPr>
            <w:r>
              <w:t xml:space="preserve">Catégories de données concernées</w:t>
            </w:r>
          </w:p>
        </w:tc>
      </w:tr>
      <w:tr>
        <w:tc>
          <w:tcPr/>
          <w:p>
            <w:pPr>
              <w:pStyle w:val="Compact"/>
            </w:pPr>
            <w:r>
              <w:t xml:space="preserve">OpenRouter / Anthropic / OpenAI (</w:t>
            </w:r>
            <w:r>
              <w:rPr>
                <w:b/>
                <w:bCs/>
              </w:rPr>
              <w:t xml:space="preserve">voie de secours uniquement</w:t>
            </w:r>
            <w:r>
              <w:t xml:space="preserve">)</w:t>
            </w:r>
          </w:p>
        </w:tc>
        <w:tc>
          <w:tcPr/>
          <w:p>
            <w:pPr>
              <w:pStyle w:val="Compact"/>
            </w:pPr>
            <w:r>
              <w:t xml:space="preserve">Prompts = sources sélectionnées par l'utilisateur (extraits de transcriptions, documents, métadonnées), minimisés ; sorties générées — uniquement en cas de bascule sur le secours</w:t>
            </w:r>
          </w:p>
        </w:tc>
      </w:tr>
      <w:tr>
        <w:tc>
          <w:tcPr/>
          <w:p>
            <w:pPr>
              <w:pStyle w:val="Compact"/>
            </w:pPr>
            <w:r>
              <w:t xml:space="preserve">Vast.ai</w:t>
            </w:r>
          </w:p>
        </w:tc>
        <w:tc>
          <w:tcPr/>
          <w:p>
            <w:pPr>
              <w:pStyle w:val="Compact"/>
            </w:pPr>
            <w:r>
              <w:t xml:space="preserve">Segments audio/transcription en cours de traitement (le temps du job), supprimés ensuite</w:t>
            </w:r>
          </w:p>
        </w:tc>
      </w:tr>
    </w:tbl>
    <w:bookmarkEnd w:id="94"/>
    <w:bookmarkStart w:id="95" w:name="Xc88f5c870e9d040feecdae04696d5e79abdfa5b"/>
    <w:p>
      <w:pPr>
        <w:pStyle w:val="Heading2"/>
      </w:pPr>
      <w:r>
        <w:t xml:space="preserve">4. (c) Mécanismes juridiques retenus</w:t>
      </w:r>
    </w:p>
    <w:p>
      <w:pPr>
        <w:pStyle w:val="Compact"/>
        <w:numPr>
          <w:ilvl w:val="0"/>
          <w:numId w:val="1021"/>
        </w:numPr>
      </w:pPr>
      <w:r>
        <w:rPr>
          <w:b/>
          <w:bCs/>
        </w:rPr>
        <w:t xml:space="preserve">Clauses Contractuelles Types (CCT / SCC)</w:t>
      </w:r>
      <w:r>
        <w:t xml:space="preserve"> </w:t>
      </w:r>
      <w:r>
        <w:t xml:space="preserve">des fournisseurs (modules applicables au rapport sous-traitant → sous-traitant ultérieur, module 3, ou responsable → sous-traitant selon la configuration).</w:t>
      </w:r>
    </w:p>
    <w:p>
      <w:pPr>
        <w:pStyle w:val="Compact"/>
        <w:numPr>
          <w:ilvl w:val="0"/>
          <w:numId w:val="1021"/>
        </w:numPr>
      </w:pPr>
      <w:r>
        <w:rPr>
          <w:b/>
          <w:bCs/>
        </w:rPr>
        <w:t xml:space="preserve">Data Privacy Framework (DPF)</w:t>
      </w:r>
      <w:r>
        <w:t xml:space="preserve"> </w:t>
      </w:r>
      <w:r>
        <w:t xml:space="preserve">UE–US</w:t>
      </w:r>
      <w:r>
        <w:t xml:space="preserve"> </w:t>
      </w:r>
      <w:r>
        <w:rPr>
          <w:b/>
          <w:bCs/>
        </w:rPr>
        <w:t xml:space="preserve">lorsque le fournisseur est certifié</w:t>
      </w:r>
      <w:r>
        <w:t xml:space="preserve"> </w:t>
      </w:r>
      <w:r>
        <w:t xml:space="preserve">—</w:t>
      </w:r>
      <w:r>
        <w:t xml:space="preserve"> </w:t>
      </w:r>
      <w:r>
        <w:rPr>
          <w:b/>
          <w:bCs/>
        </w:rPr>
        <w:t xml:space="preserve">[À VÉRIFIER par fournisseur]</w:t>
      </w:r>
      <w:r>
        <w:t xml:space="preserve"> </w:t>
      </w:r>
      <w:r>
        <w:t xml:space="preserve">: la certification DPF d'OpenRouter, Anthropic et OpenAI doit être vérifiée fournisseur par fournisseur avant de s'en prévaloir. Ne pas présumer une certification non vérifiée.</w:t>
      </w:r>
    </w:p>
    <w:p>
      <w:pPr>
        <w:pStyle w:val="Compact"/>
        <w:numPr>
          <w:ilvl w:val="0"/>
          <w:numId w:val="1021"/>
        </w:numPr>
      </w:pPr>
      <w:r>
        <w:rPr>
          <w:b/>
          <w:bCs/>
        </w:rPr>
        <w:t xml:space="preserve">Mesures supplémentaires</w:t>
      </w:r>
      <w:r>
        <w:t xml:space="preserve"> </w:t>
      </w:r>
      <w:r>
        <w:t xml:space="preserve">(voir section 5), conformément aux recommandations du CEPD sur les mesures complémentaires aux outils de transfert.</w:t>
      </w:r>
    </w:p>
    <w:bookmarkEnd w:id="95"/>
    <w:bookmarkStart w:id="96" w:name="X0746e0ea3ea47c6136a496f999aa64ff85f02fe"/>
    <w:p>
      <w:pPr>
        <w:pStyle w:val="Heading2"/>
      </w:pPr>
      <w:r>
        <w:t xml:space="preserve">5. (e) Mesures supplémentaires mises en œuvre</w:t>
      </w:r>
    </w:p>
    <w:p>
      <w:pPr>
        <w:pStyle w:val="Compact"/>
        <w:numPr>
          <w:ilvl w:val="0"/>
          <w:numId w:val="1022"/>
        </w:numPr>
      </w:pPr>
      <w:r>
        <w:rPr>
          <w:b/>
          <w:bCs/>
        </w:rPr>
        <w:t xml:space="preserve">Chiffrement en transit</w:t>
      </w:r>
      <w:r>
        <w:t xml:space="preserve"> </w:t>
      </w:r>
      <w:r>
        <w:t xml:space="preserve">: TLS 1.2+ pour tous les flux applicatifs et API.</w:t>
      </w:r>
    </w:p>
    <w:p>
      <w:pPr>
        <w:pStyle w:val="Compact"/>
        <w:numPr>
          <w:ilvl w:val="0"/>
          <w:numId w:val="1022"/>
        </w:numPr>
      </w:pPr>
      <w:r>
        <w:rPr>
          <w:b/>
          <w:bCs/>
        </w:rPr>
        <w:t xml:space="preserve">Chiffrement des sauvegardes</w:t>
      </w:r>
      <w:r>
        <w:t xml:space="preserve"> </w:t>
      </w:r>
      <w:r>
        <w:t xml:space="preserve">: chiffrement</w:t>
      </w:r>
      <w:r>
        <w:t xml:space="preserve"> </w:t>
      </w:r>
      <w:r>
        <w:rPr>
          <w:b/>
          <w:bCs/>
        </w:rPr>
        <w:t xml:space="preserve">age</w:t>
      </w:r>
      <w:r>
        <w:t xml:space="preserve"> </w:t>
      </w:r>
      <w:r>
        <w:t xml:space="preserve">(X25519 + ChaCha20-Poly1305)</w:t>
      </w:r>
      <w:r>
        <w:t xml:space="preserve"> </w:t>
      </w:r>
      <w:r>
        <w:rPr>
          <w:b/>
          <w:bCs/>
        </w:rPr>
        <w:t xml:space="preserve">avant</w:t>
      </w:r>
      <w:r>
        <w:t xml:space="preserve"> </w:t>
      </w:r>
      <w:r>
        <w:t xml:space="preserve">externalisation ; clés détenues par OHADJA, conservées</w:t>
      </w:r>
      <w:r>
        <w:t xml:space="preserve"> </w:t>
      </w:r>
      <w:r>
        <w:rPr>
          <w:b/>
          <w:bCs/>
        </w:rPr>
        <w:t xml:space="preserve">en UE</w:t>
      </w:r>
      <w:r>
        <w:t xml:space="preserve">. Le prestataire de stockage (Scaleway, France) ne détient que des blocs illisibles.</w:t>
      </w:r>
    </w:p>
    <w:p>
      <w:pPr>
        <w:pStyle w:val="Compact"/>
        <w:numPr>
          <w:ilvl w:val="0"/>
          <w:numId w:val="1022"/>
        </w:numPr>
      </w:pPr>
      <w:r>
        <w:rPr>
          <w:b/>
          <w:bCs/>
        </w:rPr>
        <w:t xml:space="preserve">Minimisation des prompts</w:t>
      </w:r>
      <w:r>
        <w:t xml:space="preserve"> </w:t>
      </w:r>
      <w:r>
        <w:t xml:space="preserve">: seules les sources sélectionnées par l'utilisateur sont transmises aux modèles ; réduction du volume et du contenu.</w:t>
      </w:r>
    </w:p>
    <w:p>
      <w:pPr>
        <w:pStyle w:val="Compact"/>
        <w:numPr>
          <w:ilvl w:val="0"/>
          <w:numId w:val="1022"/>
        </w:numPr>
      </w:pPr>
      <w:r>
        <w:rPr>
          <w:b/>
          <w:bCs/>
        </w:rPr>
        <w:t xml:space="preserve">No-train</w:t>
      </w:r>
      <w:r>
        <w:t xml:space="preserve"> </w:t>
      </w:r>
      <w:r>
        <w:t xml:space="preserve">: engagement de non-entraînement (no-train flag OpenRouter, engagements DPA fournisseurs) — les données ne servent pas à entraîner de modèles.</w:t>
      </w:r>
    </w:p>
    <w:p>
      <w:pPr>
        <w:pStyle w:val="Compact"/>
        <w:numPr>
          <w:ilvl w:val="0"/>
          <w:numId w:val="1022"/>
        </w:numPr>
      </w:pPr>
      <w:r>
        <w:rPr>
          <w:b/>
          <w:bCs/>
        </w:rPr>
        <w:t xml:space="preserve">Pas de stockage durable côté fournisseur IA</w:t>
      </w:r>
      <w:r>
        <w:t xml:space="preserve"> </w:t>
      </w:r>
      <w:r>
        <w:t xml:space="preserve">: les prompts ne sont pas conservés de manière persistante par les fournisseurs de modèles.</w:t>
      </w:r>
    </w:p>
    <w:p>
      <w:pPr>
        <w:pStyle w:val="Compact"/>
        <w:numPr>
          <w:ilvl w:val="0"/>
          <w:numId w:val="1022"/>
        </w:numPr>
      </w:pPr>
      <w:r>
        <w:rPr>
          <w:b/>
          <w:bCs/>
        </w:rPr>
        <w:t xml:space="preserve">Pseudonymisation partielle</w:t>
      </w:r>
      <w:r>
        <w:t xml:space="preserve"> </w:t>
      </w:r>
      <w:r>
        <w:t xml:space="preserve">: lorsque cela est possible, réduction des identifiants directs dans les contenus transmis.</w:t>
      </w:r>
    </w:p>
    <w:bookmarkEnd w:id="96"/>
    <w:bookmarkStart w:id="97" w:name="X6339bad733b4d8019ab28156a753cf759c0b8d9"/>
    <w:p>
      <w:pPr>
        <w:pStyle w:val="Heading2"/>
      </w:pPr>
      <w:r>
        <w:t xml:space="preserve">6. (d) État des analyses d'impact des transferts (AITD/TIA)</w:t>
      </w:r>
    </w:p>
    <w:p>
      <w:pPr>
        <w:pStyle w:val="FirstParagraph"/>
      </w:pPr>
      <w:r>
        <w:t xml:space="preserve">Les</w:t>
      </w:r>
      <w:r>
        <w:t xml:space="preserve"> </w:t>
      </w:r>
      <w:r>
        <w:rPr>
          <w:b/>
          <w:bCs/>
        </w:rPr>
        <w:t xml:space="preserve">analyses de transfert (AITD / Transfer Impact Assessment)</w:t>
      </w:r>
      <w:r>
        <w:t xml:space="preserve"> </w:t>
      </w:r>
      <w:r>
        <w:t xml:space="preserve">relatives aux fournisseurs américains</w:t>
      </w:r>
      <w:r>
        <w:t xml:space="preserve"> </w:t>
      </w:r>
      <w:r>
        <w:rPr>
          <w:b/>
          <w:bCs/>
        </w:rPr>
        <w:t xml:space="preserve">de la voie de secours</w:t>
      </w:r>
      <w:r>
        <w:t xml:space="preserve"> </w:t>
      </w:r>
      <w:r>
        <w:t xml:space="preserve">(OpenRouter, Anthropic, OpenAI) et à Vast.ai sont</w:t>
      </w:r>
      <w:r>
        <w:t xml:space="preserve"> </w:t>
      </w:r>
      <w:r>
        <w:rPr>
          <w:b/>
          <w:bCs/>
        </w:rPr>
        <w:t xml:space="preserve">en cours de formalisation</w:t>
      </w:r>
      <w:r>
        <w:t xml:space="preserve">. À la date du 2026-07-24, elles ne sont</w:t>
      </w:r>
      <w:r>
        <w:t xml:space="preserve"> </w:t>
      </w:r>
      <w:r>
        <w:rPr>
          <w:b/>
          <w:bCs/>
        </w:rPr>
        <w:t xml:space="preserve">pas finalisées</w:t>
      </w:r>
      <w:r>
        <w:t xml:space="preserve"> </w:t>
      </w:r>
      <w:r>
        <w:t xml:space="preserve">: une synthèse sera disponible sur demande [À COMPLÉTER : AITD par fournisseur]. OHADJA ne prétend pas que ces analyses sont achevées.</w:t>
      </w:r>
    </w:p>
    <w:p>
      <w:pPr>
        <w:pStyle w:val="BodyText"/>
      </w:pPr>
      <w:r>
        <w:t xml:space="preserve">Cette formalisation couvrira, pour chaque fournisseur : la cartographie du flux, la législation du pays tiers (notamment l'accès des autorités), l'évaluation de l'efficacité des mesures supplémentaires, et la conclusion sur l'admissibilité du transfert. Le périmètre de ces analyses est réduit par le fait que la voie de secours est désactivable (profil « UE strict »).</w:t>
      </w:r>
    </w:p>
    <w:bookmarkEnd w:id="97"/>
    <w:bookmarkStart w:id="98" w:name="X56f4867122fc146617b334329af1bcb476100bf"/>
    <w:p>
      <w:pPr>
        <w:pStyle w:val="Heading2"/>
      </w:pPr>
      <w:r>
        <w:t xml:space="preserve">7. (f) Accès humains d'administration — engagement France / UE (question Monaco traitée et fermée)</w:t>
      </w:r>
    </w:p>
    <w:p>
      <w:pPr>
        <w:pStyle w:val="FirstParagraph"/>
      </w:pPr>
      <w:r>
        <w:rPr>
          <w:b/>
          <w:bCs/>
        </w:rPr>
        <w:t xml:space="preserve">Engagement contractuel.</w:t>
      </w:r>
      <w:r>
        <w:t xml:space="preserve"> </w:t>
      </w:r>
      <w:r>
        <w:t xml:space="preserve">L'éditeur et sous-traitant</w:t>
      </w:r>
      <w:r>
        <w:t xml:space="preserve"> </w:t>
      </w:r>
      <w:r>
        <w:rPr>
          <w:b/>
          <w:bCs/>
        </w:rPr>
        <w:t xml:space="preserve">OHADJA est établi à Paris (France)</w:t>
      </w:r>
      <w:r>
        <w:t xml:space="preserve">. L'administration, le support et la sécurité du service sont réalisés</w:t>
      </w:r>
      <w:r>
        <w:t xml:space="preserve"> </w:t>
      </w:r>
      <w:r>
        <w:rPr>
          <w:b/>
          <w:bCs/>
        </w:rPr>
        <w:t xml:space="preserve">exclusivement depuis la France / l'Union européenne</w:t>
      </w:r>
      <w:r>
        <w:t xml:space="preserve">. Cet engagement contractuel garantit qu'</w:t>
      </w:r>
      <w:r>
        <w:rPr>
          <w:b/>
          <w:bCs/>
        </w:rPr>
        <w:t xml:space="preserve">aucun accès humain aux données de production n'a lieu depuis un pays tiers</w:t>
      </w:r>
      <w:r>
        <w:t xml:space="preserve">.</w:t>
      </w:r>
    </w:p>
    <w:p>
      <w:pPr>
        <w:pStyle w:val="BodyText"/>
      </w:pPr>
      <w:r>
        <w:rPr>
          <w:b/>
          <w:bCs/>
        </w:rPr>
        <w:t xml:space="preserve">Transparence sur le lien avec Monaco.</w:t>
      </w:r>
      <w:r>
        <w:t xml:space="preserve"> </w:t>
      </w:r>
      <w:r>
        <w:t xml:space="preserve">Le groupe fondateur exerce une activité commerciale de revendeur/distributeur incluant Monaco, portée par</w:t>
      </w:r>
      <w:r>
        <w:t xml:space="preserve"> </w:t>
      </w:r>
      <w:r>
        <w:rPr>
          <w:b/>
          <w:bCs/>
        </w:rPr>
        <w:t xml:space="preserve">AMBASSADIA SARL</w:t>
      </w:r>
      <w:r>
        <w:t xml:space="preserve">. Cette activité est</w:t>
      </w:r>
      <w:r>
        <w:t xml:space="preserve"> </w:t>
      </w:r>
      <w:r>
        <w:rPr>
          <w:b/>
          <w:bCs/>
        </w:rPr>
        <w:t xml:space="preserve">strictement commerciale</w:t>
      </w:r>
      <w:r>
        <w:t xml:space="preserve"> </w:t>
      </w:r>
      <w:r>
        <w:t xml:space="preserve">et</w:t>
      </w:r>
      <w:r>
        <w:t xml:space="preserve"> </w:t>
      </w:r>
      <w:r>
        <w:rPr>
          <w:b/>
          <w:bCs/>
        </w:rPr>
        <w:t xml:space="preserve">n'emporte aucun accès aux données de production</w:t>
      </w:r>
      <w:r>
        <w:t xml:space="preserve"> </w:t>
      </w:r>
      <w:r>
        <w:t xml:space="preserve">(voir OHA-RGPD-01). La question d'un éventuel accès d'administration depuis Monaco est donc</w:t>
      </w:r>
      <w:r>
        <w:t xml:space="preserve"> </w:t>
      </w:r>
      <w:r>
        <w:rPr>
          <w:b/>
          <w:bCs/>
        </w:rPr>
        <w:t xml:space="preserve">traitée et fermée</w:t>
      </w:r>
      <w:r>
        <w:t xml:space="preserve"> </w:t>
      </w:r>
      <w:r>
        <w:t xml:space="preserve">par l'engagement d'accès France/UE ci-dessus : elle ne se pose pas dans l'architecture retenue.</w:t>
      </w:r>
    </w:p>
    <w:p>
      <w:pPr>
        <w:pStyle w:val="BodyText"/>
      </w:pPr>
      <w:r>
        <w:rPr>
          <w:b/>
          <w:bCs/>
        </w:rPr>
        <w:t xml:space="preserve">Encadrement technique des accès (France/UE).</w:t>
      </w:r>
      <w:r>
        <w:t xml:space="preserve"> </w:t>
      </w:r>
      <w:r>
        <w:t xml:space="preserve">Accès nominatif, clé SSH, 2FA TOTP, TLS, journalisation,</w:t>
      </w:r>
      <w:r>
        <w:t xml:space="preserve"> </w:t>
      </w:r>
      <w:r>
        <w:rPr>
          <w:b/>
          <w:bCs/>
        </w:rPr>
        <w:t xml:space="preserve">aucune copie locale</w:t>
      </w:r>
      <w:r>
        <w:t xml:space="preserve"> </w:t>
      </w:r>
      <w:r>
        <w:t xml:space="preserve">des données de production.</w:t>
      </w:r>
    </w:p>
    <w:bookmarkEnd w:id="98"/>
    <w:bookmarkStart w:id="99" w:name="X034bb2e08dbf4a36e99bf05805e087826fb2045"/>
    <w:p>
      <w:pPr>
        <w:pStyle w:val="Heading2"/>
      </w:pPr>
      <w:r>
        <w:t xml:space="preserve">8. (g) Profil « UE strict » activable</w:t>
      </w:r>
    </w:p>
    <w:p>
      <w:pPr>
        <w:pStyle w:val="FirstParagraph"/>
      </w:pPr>
      <w:r>
        <w:t xml:space="preserve">La</w:t>
      </w:r>
      <w:r>
        <w:t xml:space="preserve"> </w:t>
      </w:r>
      <w:r>
        <w:rPr>
          <w:b/>
          <w:bCs/>
        </w:rPr>
        <w:t xml:space="preserve">voie primaire d'inférence est déjà en UE</w:t>
      </w:r>
      <w:r>
        <w:t xml:space="preserve"> </w:t>
      </w:r>
      <w:r>
        <w:t xml:space="preserve">(serveurs vLLM maîtrisés à Strasbourg / Paris). TranscribIA propose en complément,</w:t>
      </w:r>
      <w:r>
        <w:t xml:space="preserve"> </w:t>
      </w:r>
      <w:r>
        <w:rPr>
          <w:b/>
          <w:bCs/>
        </w:rPr>
        <w:t xml:space="preserve">par organisation</w:t>
      </w:r>
      <w:r>
        <w:t xml:space="preserve"> </w:t>
      </w:r>
      <w:r>
        <w:t xml:space="preserve">(depuis la version 1.7.0), un profil</w:t>
      </w:r>
      <w:r>
        <w:t xml:space="preserve"> </w:t>
      </w:r>
      <w:r>
        <w:rPr>
          <w:b/>
          <w:bCs/>
        </w:rPr>
        <w:t xml:space="preserve">« UE strict »</w:t>
      </w:r>
      <w:r>
        <w:t xml:space="preserve"> </w:t>
      </w:r>
      <w:r>
        <w:t xml:space="preserve">qui</w:t>
      </w:r>
      <w:r>
        <w:t xml:space="preserve"> </w:t>
      </w:r>
      <w:r>
        <w:rPr>
          <w:b/>
          <w:bCs/>
        </w:rPr>
        <w:t xml:space="preserve">désactive la voie de secours OpenRouter</w:t>
      </w:r>
      <w:r>
        <w:t xml:space="preserve"> </w:t>
      </w:r>
      <w:r>
        <w:t xml:space="preserve">et impose un</w:t>
      </w:r>
      <w:r>
        <w:t xml:space="preserve"> </w:t>
      </w:r>
      <w:r>
        <w:rPr>
          <w:b/>
          <w:bCs/>
        </w:rPr>
        <w:t xml:space="preserve">GPU en UE</w:t>
      </w:r>
      <w:r>
        <w:t xml:space="preserve"> </w:t>
      </w:r>
      <w:r>
        <w:t xml:space="preserve">(le cas échéant un LLM auto-hébergé). Ce profil</w:t>
      </w:r>
      <w:r>
        <w:t xml:space="preserve"> </w:t>
      </w:r>
      <w:r>
        <w:rPr>
          <w:b/>
          <w:bCs/>
        </w:rPr>
        <w:t xml:space="preserve">supprime tout transfert technique vers les États-Unis</w:t>
      </w:r>
      <w:r>
        <w:t xml:space="preserve"> </w:t>
      </w:r>
      <w:r>
        <w:t xml:space="preserve">(secours OpenRouter/fournisseurs US et Vast.ai US). Il peut être activé pour l'organisation du Client afin de garantir une chaîne IA entièrement UE, tout en conservant l'Option A (SaaS).</w:t>
      </w:r>
    </w:p>
    <w:bookmarkEnd w:id="99"/>
    <w:bookmarkStart w:id="100" w:name="Xde4efbcb23f51c6c03ba9662cf7bc2a20306427"/>
    <w:p>
      <w:pPr>
        <w:pStyle w:val="Heading2"/>
      </w:pPr>
      <w:r>
        <w:t xml:space="preserve">9. (h) Option B isolée — aucun transfert</w:t>
      </w:r>
    </w:p>
    <w:p>
      <w:pPr>
        <w:pStyle w:val="FirstParagraph"/>
      </w:pPr>
      <w:r>
        <w:t xml:space="preserve">En</w:t>
      </w:r>
      <w:r>
        <w:t xml:space="preserve"> </w:t>
      </w:r>
      <w:r>
        <w:rPr>
          <w:b/>
          <w:bCs/>
        </w:rPr>
        <w:t xml:space="preserve">Option B isolée</w:t>
      </w:r>
      <w:r>
        <w:t xml:space="preserve"> </w:t>
      </w:r>
      <w:r>
        <w:t xml:space="preserve">(déploiement on-premise sans cloud),</w:t>
      </w:r>
      <w:r>
        <w:t xml:space="preserve"> </w:t>
      </w:r>
      <w:r>
        <w:rPr>
          <w:b/>
          <w:bCs/>
        </w:rPr>
        <w:t xml:space="preserve">aucun transfert ni accès hors EEE</w:t>
      </w:r>
      <w:r>
        <w:t xml:space="preserve"> </w:t>
      </w:r>
      <w:r>
        <w:t xml:space="preserve">n'a lieu : l'application, la base de données, le worker GPU de transcription et le modèle de langage auto-hébergé s'exécutent intégralement dans l'infrastructure du Client. C'est ce mode qui permet l'attestation « aucune donnée dans le cloud ». Le seul accès externe éventuel serait un accès de maintenance d'OHADJA expressément autorisé et déclenché par le Client — soumis à l'engagement d'accès exclusivement depuis la France / l'UE.</w:t>
      </w:r>
    </w:p>
    <w:bookmarkEnd w:id="100"/>
    <w:bookmarkStart w:id="101" w:name="X6bfe4dd000e396369869c62fc9491b9e3c11286"/>
    <w:p>
      <w:pPr>
        <w:pStyle w:val="Heading2"/>
      </w:pPr>
      <w:r>
        <w:t xml:space="preserve">10. Synthèse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Situation</w:t>
            </w:r>
          </w:p>
        </w:tc>
        <w:tc>
          <w:tcPr/>
          <w:p>
            <w:pPr>
              <w:pStyle w:val="Compact"/>
            </w:pPr>
            <w:r>
              <w:t xml:space="preserve">Mécanisme</w:t>
            </w:r>
          </w:p>
        </w:tc>
        <w:tc>
          <w:tcPr/>
          <w:p>
            <w:pPr>
              <w:pStyle w:val="Compact"/>
            </w:pPr>
            <w:r>
              <w:t xml:space="preserve">Statut</w:t>
            </w:r>
          </w:p>
        </w:tc>
      </w:tr>
      <w:tr>
        <w:tc>
          <w:tcPr/>
          <w:p>
            <w:pPr>
              <w:pStyle w:val="Compact"/>
            </w:pPr>
            <w:r>
              <w:t xml:space="preserve">Inférence IA —</w:t>
            </w:r>
            <w:r>
              <w:t xml:space="preserve"> </w:t>
            </w:r>
            <w:r>
              <w:rPr>
                <w:b/>
                <w:bCs/>
              </w:rPr>
              <w:t xml:space="preserve">voie primaire (vLLM UE)</w:t>
            </w:r>
          </w:p>
        </w:tc>
        <w:tc>
          <w:tcPr/>
          <w:p>
            <w:pPr>
              <w:pStyle w:val="Compact"/>
            </w:pPr>
            <w:r>
              <w:t xml:space="preserve">Serveurs maîtrisés en UE (Strasbourg / Paris)</w:t>
            </w:r>
          </w:p>
        </w:tc>
        <w:tc>
          <w:tcPr/>
          <w:p>
            <w:pPr>
              <w:pStyle w:val="Compact"/>
            </w:pPr>
            <w:r>
              <w:rPr>
                <w:b/>
                <w:bCs/>
              </w:rPr>
              <w:t xml:space="preserve">Aucun transfert hors EEE</w:t>
            </w:r>
          </w:p>
        </w:tc>
      </w:tr>
      <w:tr>
        <w:tc>
          <w:tcPr/>
          <w:p>
            <w:pPr>
              <w:pStyle w:val="Compact"/>
            </w:pPr>
            <w:r>
              <w:t xml:space="preserve">Sauvegardes (Scaleway, France)</w:t>
            </w:r>
          </w:p>
        </w:tc>
        <w:tc>
          <w:tcPr/>
          <w:p>
            <w:pPr>
              <w:pStyle w:val="Compact"/>
            </w:pPr>
            <w:r>
              <w:t xml:space="preserve">Stockage UE + chiffrement age avant envoi</w:t>
            </w:r>
          </w:p>
        </w:tc>
        <w:tc>
          <w:tcPr/>
          <w:p>
            <w:pPr>
              <w:pStyle w:val="Compact"/>
            </w:pPr>
            <w:r>
              <w:rPr>
                <w:b/>
                <w:bCs/>
              </w:rPr>
              <w:t xml:space="preserve">Aucun transfert hors EEE</w:t>
            </w:r>
          </w:p>
        </w:tc>
      </w:tr>
      <w:tr>
        <w:tc>
          <w:tcPr/>
          <w:p>
            <w:pPr>
              <w:pStyle w:val="Compact"/>
            </w:pPr>
            <w:r>
              <w:t xml:space="preserve">Flux IA US —</w:t>
            </w:r>
            <w:r>
              <w:t xml:space="preserve"> </w:t>
            </w:r>
            <w:r>
              <w:rPr>
                <w:b/>
                <w:bCs/>
              </w:rPr>
              <w:t xml:space="preserve">voie de secours OpenRouter (désactivable)</w:t>
            </w:r>
          </w:p>
        </w:tc>
        <w:tc>
          <w:tcPr/>
          <w:p>
            <w:pPr>
              <w:pStyle w:val="Compact"/>
            </w:pPr>
            <w:r>
              <w:t xml:space="preserve">CCT + DPF [À VÉRIFIER] + mesures supplémentaires</w:t>
            </w:r>
          </w:p>
        </w:tc>
        <w:tc>
          <w:tcPr/>
          <w:p>
            <w:pPr>
              <w:pStyle w:val="Compact"/>
            </w:pPr>
            <w:r>
              <w:t xml:space="preserve">Encadré ;</w:t>
            </w:r>
            <w:r>
              <w:t xml:space="preserve"> </w:t>
            </w:r>
            <w:r>
              <w:rPr>
                <w:b/>
                <w:bCs/>
              </w:rPr>
              <w:t xml:space="preserve">évitable</w:t>
            </w:r>
            <w:r>
              <w:t xml:space="preserve"> </w:t>
            </w:r>
            <w:r>
              <w:t xml:space="preserve">(profil UE strict) ; AITD en cours de formalisation</w:t>
            </w:r>
          </w:p>
        </w:tc>
      </w:tr>
      <w:tr>
        <w:tc>
          <w:tcPr/>
          <w:p>
            <w:pPr>
              <w:pStyle w:val="Compact"/>
            </w:pPr>
            <w:r>
              <w:t xml:space="preserve">Vast.ai US (si activé)</w:t>
            </w:r>
          </w:p>
        </w:tc>
        <w:tc>
          <w:tcPr/>
          <w:p>
            <w:pPr>
              <w:pStyle w:val="Compact"/>
            </w:pPr>
            <w:r>
              <w:t xml:space="preserve">Sélection UE lorsque requis ; CCT sinon</w:t>
            </w:r>
          </w:p>
        </w:tc>
        <w:tc>
          <w:tcPr/>
          <w:p>
            <w:pPr>
              <w:pStyle w:val="Compact"/>
            </w:pPr>
            <w:r>
              <w:t xml:space="preserve">Encadré ; évitable via GPU dédié UE</w:t>
            </w:r>
          </w:p>
        </w:tc>
      </w:tr>
      <w:tr>
        <w:tc>
          <w:tcPr/>
          <w:p>
            <w:pPr>
              <w:pStyle w:val="Compact"/>
            </w:pPr>
            <w:r>
              <w:t xml:space="preserve">Accès humains d'administration</w:t>
            </w:r>
          </w:p>
        </w:tc>
        <w:tc>
          <w:tcPr/>
          <w:p>
            <w:pPr>
              <w:pStyle w:val="Compact"/>
            </w:pPr>
            <w:r>
              <w:rPr>
                <w:b/>
                <w:bCs/>
              </w:rPr>
              <w:t xml:space="preserve">Engagement France / UE uniquement</w:t>
            </w:r>
          </w:p>
        </w:tc>
        <w:tc>
          <w:tcPr/>
          <w:p>
            <w:pPr>
              <w:pStyle w:val="Compact"/>
            </w:pPr>
            <w:r>
              <w:t xml:space="preserve">Aucun accès depuis un pays tiers ; question Monaco fermée</w:t>
            </w:r>
          </w:p>
        </w:tc>
      </w:tr>
      <w:tr>
        <w:tc>
          <w:tcPr/>
          <w:p>
            <w:pPr>
              <w:pStyle w:val="Compact"/>
            </w:pPr>
            <w:r>
              <w:t xml:space="preserve">Profil « UE strict »</w:t>
            </w:r>
          </w:p>
        </w:tc>
        <w:tc>
          <w:tcPr/>
          <w:p>
            <w:pPr>
              <w:pStyle w:val="Compact"/>
            </w:pPr>
            <w:r>
              <w:t xml:space="preserve">Voie primaire seule / LLM UE ou auto-hébergé + GPU UE</w:t>
            </w:r>
          </w:p>
        </w:tc>
        <w:tc>
          <w:tcPr/>
          <w:p>
            <w:pPr>
              <w:pStyle w:val="Compact"/>
            </w:pPr>
            <w:r>
              <w:t xml:space="preserve">Supprime les transferts US</w:t>
            </w:r>
          </w:p>
        </w:tc>
      </w:tr>
      <w:tr>
        <w:tc>
          <w:tcPr/>
          <w:p>
            <w:pPr>
              <w:pStyle w:val="Compact"/>
            </w:pPr>
            <w:r>
              <w:t xml:space="preserve">Option B isolée</w:t>
            </w:r>
          </w:p>
        </w:tc>
        <w:tc>
          <w:tcPr/>
          <w:p>
            <w:pPr>
              <w:pStyle w:val="Compact"/>
            </w:pPr>
            <w:r>
              <w:t xml:space="preserve">—</w:t>
            </w:r>
          </w:p>
        </w:tc>
        <w:tc>
          <w:tcPr/>
          <w:p>
            <w:pPr>
              <w:pStyle w:val="Compact"/>
            </w:pPr>
            <w:r>
              <w:rPr>
                <w:b/>
                <w:bCs/>
              </w:rPr>
              <w:t xml:space="preserve">Aucun transfert hors EEE</w:t>
            </w:r>
          </w:p>
        </w:tc>
      </w:tr>
    </w:tbl>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101"/>
    <w:bookmarkEnd w:id="102"/>
    <w:bookmarkStart w:id="110" w:name="X7dfa085352667209966fa6cd7412a1e78b1fa3f"/>
    <w:p>
      <w:pPr>
        <w:pStyle w:val="Heading1"/>
      </w:pPr>
      <w:r>
        <w:t xml:space="preserve">Matrice des durées de conservation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OHA-RGPD-05</w:t>
            </w:r>
          </w:p>
        </w:tc>
      </w:tr>
      <w:tr>
        <w:tc>
          <w:tcPr/>
          <w:p>
            <w:pPr>
              <w:pStyle w:val="Compact"/>
            </w:pPr>
            <w:r>
              <w:t xml:space="preserve">Objet</w:t>
            </w:r>
          </w:p>
        </w:tc>
        <w:tc>
          <w:tcPr/>
          <w:p>
            <w:pPr>
              <w:pStyle w:val="Compact"/>
            </w:pPr>
            <w:r>
              <w:t xml:space="preserve">Politique et matrice des durées de conservation, paramétrage et articulation avec l'effacement</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Destinataire</w:t>
            </w:r>
          </w:p>
        </w:tc>
        <w:tc>
          <w:tcPr/>
          <w:p>
            <w:pPr>
              <w:pStyle w:val="Compact"/>
            </w:pPr>
            <w:r>
              <w:t xml:space="preserve">Organisation cliente (document type)</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103" w:name="Xb740074d2d8b3ab2a0aa99c5546089d0a9ea256"/>
    <w:p>
      <w:pPr>
        <w:pStyle w:val="Heading2"/>
      </w:pPr>
      <w:r>
        <w:t xml:space="preserve">1. Principe</w:t>
      </w:r>
    </w:p>
    <w:p>
      <w:pPr>
        <w:pStyle w:val="FirstParagraph"/>
      </w:pPr>
      <w:r>
        <w:t xml:space="preserve">Les durées de conservation applicables aux</w:t>
      </w:r>
      <w:r>
        <w:t xml:space="preserve"> </w:t>
      </w:r>
      <w:r>
        <w:rPr>
          <w:b/>
          <w:bCs/>
        </w:rPr>
        <w:t xml:space="preserve">contenus</w:t>
      </w:r>
      <w:r>
        <w:t xml:space="preserve"> </w:t>
      </w:r>
      <w:r>
        <w:t xml:space="preserve">du Client sont</w:t>
      </w:r>
      <w:r>
        <w:t xml:space="preserve"> </w:t>
      </w:r>
      <w:r>
        <w:rPr>
          <w:b/>
          <w:bCs/>
        </w:rPr>
        <w:t xml:space="preserve">paramétrables par organisation</w:t>
      </w:r>
      <w:r>
        <w:t xml:space="preserve"> </w:t>
      </w:r>
      <w:r>
        <w:t xml:space="preserve">: le Client, en qualité de responsable de traitement, en reste maître. Les durées ci-dessous constituent les</w:t>
      </w:r>
      <w:r>
        <w:t xml:space="preserve"> </w:t>
      </w:r>
      <w:r>
        <w:rPr>
          <w:b/>
          <w:bCs/>
        </w:rPr>
        <w:t xml:space="preserve">valeurs par défaut</w:t>
      </w:r>
      <w:r>
        <w:t xml:space="preserve"> </w:t>
      </w:r>
      <w:r>
        <w:t xml:space="preserve">et les</w:t>
      </w:r>
      <w:r>
        <w:t xml:space="preserve"> </w:t>
      </w:r>
      <w:r>
        <w:rPr>
          <w:b/>
          <w:bCs/>
        </w:rPr>
        <w:t xml:space="preserve">plafonds techniques</w:t>
      </w:r>
      <w:r>
        <w:t xml:space="preserve"> </w:t>
      </w:r>
      <w:r>
        <w:t xml:space="preserve">appliqués par la plateforme. Certaines durées (journaux, sauvegardes) répondent à des impératifs de sécurité et de preuve et sont encadrées par des maxima.</w:t>
      </w:r>
    </w:p>
    <w:bookmarkEnd w:id="103"/>
    <w:bookmarkStart w:id="104" w:name="Xd608f4a84f7477e85b8d19a34807e655aa9cf03"/>
    <w:p>
      <w:pPr>
        <w:pStyle w:val="Heading2"/>
      </w:pPr>
      <w:r>
        <w:t xml:space="preserve">2. Matrice des durées de conservation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Catégorie</w:t>
            </w:r>
          </w:p>
        </w:tc>
        <w:tc>
          <w:tcPr/>
          <w:p>
            <w:pPr>
              <w:pStyle w:val="Compact"/>
            </w:pPr>
            <w:r>
              <w:t xml:space="preserve">Valeur par défaut</w:t>
            </w:r>
          </w:p>
        </w:tc>
        <w:tc>
          <w:tcPr/>
          <w:p>
            <w:pPr>
              <w:pStyle w:val="Compact"/>
            </w:pPr>
            <w:r>
              <w:t xml:space="preserve">Paramétrable par l'organisation</w:t>
            </w:r>
          </w:p>
        </w:tc>
        <w:tc>
          <w:tcPr/>
          <w:p>
            <w:pPr>
              <w:pStyle w:val="Compact"/>
            </w:pPr>
            <w:r>
              <w:t xml:space="preserve">Comportement à l'expiration</w:t>
            </w:r>
          </w:p>
        </w:tc>
        <w:tc>
          <w:tcPr/>
          <w:p>
            <w:pPr>
              <w:pStyle w:val="Compact"/>
            </w:pPr>
            <w:r>
              <w:t xml:space="preserve">Mode</w:t>
            </w:r>
          </w:p>
        </w:tc>
      </w:tr>
      <w:tr>
        <w:tc>
          <w:tcPr/>
          <w:p>
            <w:pPr>
              <w:pStyle w:val="Compact"/>
            </w:pPr>
            <w:r>
              <w:t xml:space="preserve">Comptes utilisateurs actifs</w:t>
            </w:r>
          </w:p>
        </w:tc>
        <w:tc>
          <w:tcPr/>
          <w:p>
            <w:pPr>
              <w:pStyle w:val="Compact"/>
            </w:pPr>
            <w:r>
              <w:t xml:space="preserve">Durée du compte et du contrat</w:t>
            </w:r>
          </w:p>
        </w:tc>
        <w:tc>
          <w:tcPr/>
          <w:p>
            <w:pPr>
              <w:pStyle w:val="Compact"/>
            </w:pPr>
            <w:r>
              <w:t xml:space="preserve">Non (liée au cycle de vie du compte)</w:t>
            </w:r>
          </w:p>
        </w:tc>
        <w:tc>
          <w:tcPr/>
          <w:p>
            <w:pPr>
              <w:pStyle w:val="Compact"/>
            </w:pPr>
            <w:r>
              <w:t xml:space="preserve">Maintenus tant qu'actifs</w:t>
            </w:r>
          </w:p>
        </w:tc>
        <w:tc>
          <w:tcPr/>
          <w:p>
            <w:pPr>
              <w:pStyle w:val="Compact"/>
            </w:pPr>
            <w:r>
              <w:t xml:space="preserve">A / B</w:t>
            </w:r>
          </w:p>
        </w:tc>
      </w:tr>
      <w:tr>
        <w:tc>
          <w:tcPr/>
          <w:p>
            <w:pPr>
              <w:pStyle w:val="Compact"/>
            </w:pPr>
            <w:r>
              <w:t xml:space="preserve">Comptes utilisateurs désactivés</w:t>
            </w:r>
          </w:p>
        </w:tc>
        <w:tc>
          <w:tcPr/>
          <w:p>
            <w:pPr>
              <w:pStyle w:val="Compact"/>
            </w:pPr>
            <w:r>
              <w:t xml:space="preserve">Suppression/anonymisation selon instruction ; à défaut, fin de contrat</w:t>
            </w:r>
          </w:p>
        </w:tc>
        <w:tc>
          <w:tcPr/>
          <w:p>
            <w:pPr>
              <w:pStyle w:val="Compact"/>
            </w:pPr>
            <w:r>
              <w:t xml:space="preserve">Oui (instruction du client)</w:t>
            </w:r>
          </w:p>
        </w:tc>
        <w:tc>
          <w:tcPr/>
          <w:p>
            <w:pPr>
              <w:pStyle w:val="Compact"/>
            </w:pPr>
            <w:r>
              <w:t xml:space="preserve">Supprimés ou anonymisés</w:t>
            </w:r>
          </w:p>
        </w:tc>
        <w:tc>
          <w:tcPr/>
          <w:p>
            <w:pPr>
              <w:pStyle w:val="Compact"/>
            </w:pPr>
            <w:r>
              <w:t xml:space="preserve">A / B</w:t>
            </w:r>
          </w:p>
        </w:tc>
      </w:tr>
      <w:tr>
        <w:tc>
          <w:tcPr/>
          <w:p>
            <w:pPr>
              <w:pStyle w:val="Compact"/>
            </w:pPr>
            <w:r>
              <w:t xml:space="preserve">Fichiers audio</w:t>
            </w:r>
          </w:p>
        </w:tc>
        <w:tc>
          <w:tcPr/>
          <w:p>
            <w:pPr>
              <w:pStyle w:val="Compact"/>
            </w:pPr>
            <w:r>
              <w:t xml:space="preserve">Durée paramétrée ; à défaut durée du contrat</w:t>
            </w:r>
          </w:p>
        </w:tc>
        <w:tc>
          <w:tcPr/>
          <w:p>
            <w:pPr>
              <w:pStyle w:val="Compact"/>
            </w:pPr>
            <w:r>
              <w:rPr>
                <w:b/>
                <w:bCs/>
              </w:rPr>
              <w:t xml:space="preserve">Oui</w:t>
            </w:r>
          </w:p>
        </w:tc>
        <w:tc>
          <w:tcPr/>
          <w:p>
            <w:pPr>
              <w:pStyle w:val="Compact"/>
            </w:pPr>
            <w:r>
              <w:t xml:space="preserve">Suppression</w:t>
            </w:r>
          </w:p>
        </w:tc>
        <w:tc>
          <w:tcPr/>
          <w:p>
            <w:pPr>
              <w:pStyle w:val="Compact"/>
            </w:pPr>
            <w:r>
              <w:t xml:space="preserve">A / B</w:t>
            </w:r>
          </w:p>
        </w:tc>
      </w:tr>
      <w:tr>
        <w:tc>
          <w:tcPr/>
          <w:p>
            <w:pPr>
              <w:pStyle w:val="Compact"/>
            </w:pPr>
            <w:r>
              <w:t xml:space="preserve">Transcriptions et versions</w:t>
            </w:r>
          </w:p>
        </w:tc>
        <w:tc>
          <w:tcPr/>
          <w:p>
            <w:pPr>
              <w:pStyle w:val="Compact"/>
            </w:pPr>
            <w:r>
              <w:t xml:space="preserve">Durée paramétrée ; à défaut durée du contrat</w:t>
            </w:r>
          </w:p>
        </w:tc>
        <w:tc>
          <w:tcPr/>
          <w:p>
            <w:pPr>
              <w:pStyle w:val="Compact"/>
            </w:pPr>
            <w:r>
              <w:rPr>
                <w:b/>
                <w:bCs/>
              </w:rPr>
              <w:t xml:space="preserve">Oui</w:t>
            </w:r>
          </w:p>
        </w:tc>
        <w:tc>
          <w:tcPr/>
          <w:p>
            <w:pPr>
              <w:pStyle w:val="Compact"/>
            </w:pPr>
            <w:r>
              <w:t xml:space="preserve">Suppression</w:t>
            </w:r>
          </w:p>
        </w:tc>
        <w:tc>
          <w:tcPr/>
          <w:p>
            <w:pPr>
              <w:pStyle w:val="Compact"/>
            </w:pPr>
            <w:r>
              <w:t xml:space="preserve">A / B</w:t>
            </w:r>
          </w:p>
        </w:tc>
      </w:tr>
      <w:tr>
        <w:tc>
          <w:tcPr/>
          <w:p>
            <w:pPr>
              <w:pStyle w:val="Compact"/>
            </w:pPr>
            <w:r>
              <w:t xml:space="preserve">Documents préparatoires</w:t>
            </w:r>
          </w:p>
        </w:tc>
        <w:tc>
          <w:tcPr/>
          <w:p>
            <w:pPr>
              <w:pStyle w:val="Compact"/>
            </w:pPr>
            <w:r>
              <w:t xml:space="preserve">Durée paramétrée ; à défaut durée du contrat</w:t>
            </w:r>
          </w:p>
        </w:tc>
        <w:tc>
          <w:tcPr/>
          <w:p>
            <w:pPr>
              <w:pStyle w:val="Compact"/>
            </w:pPr>
            <w:r>
              <w:rPr>
                <w:b/>
                <w:bCs/>
              </w:rPr>
              <w:t xml:space="preserve">Oui</w:t>
            </w:r>
          </w:p>
        </w:tc>
        <w:tc>
          <w:tcPr/>
          <w:p>
            <w:pPr>
              <w:pStyle w:val="Compact"/>
            </w:pPr>
            <w:r>
              <w:t xml:space="preserve">Suppression</w:t>
            </w:r>
          </w:p>
        </w:tc>
        <w:tc>
          <w:tcPr/>
          <w:p>
            <w:pPr>
              <w:pStyle w:val="Compact"/>
            </w:pPr>
            <w:r>
              <w:t xml:space="preserve">A / B</w:t>
            </w:r>
          </w:p>
        </w:tc>
      </w:tr>
      <w:tr>
        <w:tc>
          <w:tcPr/>
          <w:p>
            <w:pPr>
              <w:pStyle w:val="Compact"/>
            </w:pPr>
            <w:r>
              <w:t xml:space="preserve">Générations IA et exports</w:t>
            </w:r>
          </w:p>
        </w:tc>
        <w:tc>
          <w:tcPr/>
          <w:p>
            <w:pPr>
              <w:pStyle w:val="Compact"/>
            </w:pPr>
            <w:r>
              <w:t xml:space="preserve">Durée paramétrée ; à défaut durée du contrat</w:t>
            </w:r>
          </w:p>
        </w:tc>
        <w:tc>
          <w:tcPr/>
          <w:p>
            <w:pPr>
              <w:pStyle w:val="Compact"/>
            </w:pPr>
            <w:r>
              <w:rPr>
                <w:b/>
                <w:bCs/>
              </w:rPr>
              <w:t xml:space="preserve">Oui</w:t>
            </w:r>
          </w:p>
        </w:tc>
        <w:tc>
          <w:tcPr/>
          <w:p>
            <w:pPr>
              <w:pStyle w:val="Compact"/>
            </w:pPr>
            <w:r>
              <w:t xml:space="preserve">Suppression</w:t>
            </w:r>
          </w:p>
        </w:tc>
        <w:tc>
          <w:tcPr/>
          <w:p>
            <w:pPr>
              <w:pStyle w:val="Compact"/>
            </w:pPr>
            <w:r>
              <w:t xml:space="preserve">A / B</w:t>
            </w:r>
          </w:p>
        </w:tc>
      </w:tr>
      <w:tr>
        <w:tc>
          <w:tcPr/>
          <w:p>
            <w:pPr>
              <w:pStyle w:val="Compact"/>
            </w:pPr>
            <w:r>
              <w:t xml:space="preserve">Logs d'audit applicatifs</w:t>
            </w:r>
          </w:p>
        </w:tc>
        <w:tc>
          <w:tcPr/>
          <w:p>
            <w:pPr>
              <w:pStyle w:val="Compact"/>
            </w:pPr>
            <w:r>
              <w:rPr>
                <w:b/>
                <w:bCs/>
              </w:rPr>
              <w:t xml:space="preserve">≤ 12 mois</w:t>
            </w:r>
          </w:p>
        </w:tc>
        <w:tc>
          <w:tcPr/>
          <w:p>
            <w:pPr>
              <w:pStyle w:val="Compact"/>
            </w:pPr>
            <w:r>
              <w:t xml:space="preserve">Dans la limite du plafond</w:t>
            </w:r>
          </w:p>
        </w:tc>
        <w:tc>
          <w:tcPr/>
          <w:p>
            <w:pPr>
              <w:pStyle w:val="Compact"/>
            </w:pPr>
            <w:r>
              <w:t xml:space="preserve">Purge</w:t>
            </w:r>
          </w:p>
        </w:tc>
        <w:tc>
          <w:tcPr/>
          <w:p>
            <w:pPr>
              <w:pStyle w:val="Compact"/>
            </w:pPr>
            <w:r>
              <w:t xml:space="preserve">A / B</w:t>
            </w:r>
          </w:p>
        </w:tc>
      </w:tr>
      <w:tr>
        <w:tc>
          <w:tcPr/>
          <w:p>
            <w:pPr>
              <w:pStyle w:val="Compact"/>
            </w:pPr>
            <w:r>
              <w:t xml:space="preserve">Logs techniques</w:t>
            </w:r>
          </w:p>
        </w:tc>
        <w:tc>
          <w:tcPr/>
          <w:p>
            <w:pPr>
              <w:pStyle w:val="Compact"/>
            </w:pPr>
            <w:r>
              <w:rPr>
                <w:b/>
                <w:bCs/>
              </w:rPr>
              <w:t xml:space="preserve">~90 jours</w:t>
            </w:r>
          </w:p>
        </w:tc>
        <w:tc>
          <w:tcPr/>
          <w:p>
            <w:pPr>
              <w:pStyle w:val="Compact"/>
            </w:pPr>
            <w:r>
              <w:t xml:space="preserve">Dans la limite du plafond</w:t>
            </w:r>
          </w:p>
        </w:tc>
        <w:tc>
          <w:tcPr/>
          <w:p>
            <w:pPr>
              <w:pStyle w:val="Compact"/>
            </w:pPr>
            <w:r>
              <w:t xml:space="preserve">Purge</w:t>
            </w:r>
          </w:p>
        </w:tc>
        <w:tc>
          <w:tcPr/>
          <w:p>
            <w:pPr>
              <w:pStyle w:val="Compact"/>
            </w:pPr>
            <w:r>
              <w:t xml:space="preserve">A / B</w:t>
            </w:r>
          </w:p>
        </w:tc>
      </w:tr>
      <w:tr>
        <w:tc>
          <w:tcPr/>
          <w:p>
            <w:pPr>
              <w:pStyle w:val="Compact"/>
            </w:pPr>
            <w:r>
              <w:t xml:space="preserve">Sauvegardes</w:t>
            </w:r>
          </w:p>
        </w:tc>
        <w:tc>
          <w:tcPr/>
          <w:p>
            <w:pPr>
              <w:pStyle w:val="Compact"/>
            </w:pPr>
            <w:r>
              <w:rPr>
                <w:b/>
                <w:bCs/>
              </w:rPr>
              <w:t xml:space="preserve">≤ 90 jours</w:t>
            </w:r>
            <w:r>
              <w:t xml:space="preserve"> </w:t>
            </w:r>
            <w:r>
              <w:t xml:space="preserve">(rotation) ; 30 j par organisation</w:t>
            </w:r>
          </w:p>
        </w:tc>
        <w:tc>
          <w:tcPr/>
          <w:p>
            <w:pPr>
              <w:pStyle w:val="Compact"/>
            </w:pPr>
            <w:r>
              <w:t xml:space="preserve">Non (cycle de sécurité)</w:t>
            </w:r>
          </w:p>
        </w:tc>
        <w:tc>
          <w:tcPr/>
          <w:p>
            <w:pPr>
              <w:pStyle w:val="Compact"/>
            </w:pPr>
            <w:r>
              <w:t xml:space="preserve">Purge par rotation</w:t>
            </w:r>
          </w:p>
        </w:tc>
        <w:tc>
          <w:tcPr/>
          <w:p>
            <w:pPr>
              <w:pStyle w:val="Compact"/>
            </w:pPr>
            <w:r>
              <w:t xml:space="preserve">A (B : infra client)</w:t>
            </w:r>
          </w:p>
        </w:tc>
      </w:tr>
      <w:tr>
        <w:tc>
          <w:tcPr/>
          <w:p>
            <w:pPr>
              <w:pStyle w:val="Compact"/>
            </w:pPr>
            <w:r>
              <w:t xml:space="preserve">Embeddings vocaux temporaires</w:t>
            </w:r>
          </w:p>
        </w:tc>
        <w:tc>
          <w:tcPr/>
          <w:p>
            <w:pPr>
              <w:pStyle w:val="Compact"/>
            </w:pPr>
            <w:r>
              <w:rPr>
                <w:b/>
                <w:bCs/>
              </w:rPr>
              <w:t xml:space="preserve">Durée de la requête uniquement</w:t>
            </w:r>
          </w:p>
        </w:tc>
        <w:tc>
          <w:tcPr/>
          <w:p>
            <w:pPr>
              <w:pStyle w:val="Compact"/>
            </w:pPr>
            <w:r>
              <w:t xml:space="preserve">Non (éphémère par conception)</w:t>
            </w:r>
          </w:p>
        </w:tc>
        <w:tc>
          <w:tcPr/>
          <w:p>
            <w:pPr>
              <w:pStyle w:val="Compact"/>
            </w:pPr>
            <w:r>
              <w:t xml:space="preserve">Destruction en fin de traitement (</w:t>
            </w:r>
            <w:r>
              <w:rPr>
                <w:rStyle w:val="VerbatimChar"/>
              </w:rPr>
              <w:t xml:space="preserve">finally</w:t>
            </w:r>
            <w:r>
              <w:t xml:space="preserve">)</w:t>
            </w:r>
          </w:p>
        </w:tc>
        <w:tc>
          <w:tcPr/>
          <w:p>
            <w:pPr>
              <w:pStyle w:val="Compact"/>
            </w:pPr>
            <w:r>
              <w:t xml:space="preserve">A / B</w:t>
            </w:r>
          </w:p>
        </w:tc>
      </w:tr>
    </w:tbl>
    <w:bookmarkEnd w:id="104"/>
    <w:bookmarkStart w:id="105" w:name="X83fd0475445342c9f5387005de00552eb48e9d8"/>
    <w:p>
      <w:pPr>
        <w:pStyle w:val="Heading2"/>
      </w:pPr>
      <w:r>
        <w:t xml:space="preserve">3. Paramétrage par organisation</w:t>
      </w:r>
    </w:p>
    <w:p>
      <w:pPr>
        <w:pStyle w:val="Compact"/>
        <w:numPr>
          <w:ilvl w:val="0"/>
          <w:numId w:val="1023"/>
        </w:numPr>
      </w:pPr>
      <w:r>
        <w:rPr>
          <w:b/>
          <w:bCs/>
        </w:rPr>
        <w:t xml:space="preserve">Qui peut paramétrer.</w:t>
      </w:r>
      <w:r>
        <w:t xml:space="preserve"> </w:t>
      </w:r>
      <w:r>
        <w:t xml:space="preserve">Les rôles d'administration de l'organisation du Client (profils</w:t>
      </w:r>
      <w:r>
        <w:t xml:space="preserve"> </w:t>
      </w:r>
      <w:r>
        <w:rPr>
          <w:rStyle w:val="VerbatimChar"/>
        </w:rPr>
        <w:t xml:space="preserve">manager</w:t>
      </w:r>
      <w:r>
        <w:t xml:space="preserve"> </w:t>
      </w:r>
      <w:r>
        <w:t xml:space="preserve">/ administrateur d'organisation, selon l'attribution décidée par le Client).</w:t>
      </w:r>
    </w:p>
    <w:p>
      <w:pPr>
        <w:pStyle w:val="Compact"/>
        <w:numPr>
          <w:ilvl w:val="0"/>
          <w:numId w:val="1023"/>
        </w:numPr>
      </w:pPr>
      <w:r>
        <w:rPr>
          <w:b/>
          <w:bCs/>
        </w:rPr>
        <w:t xml:space="preserve">Où dans le produit.</w:t>
      </w:r>
      <w:r>
        <w:t xml:space="preserve"> </w:t>
      </w:r>
      <w:r>
        <w:t xml:space="preserve">Réglages de l'organisation (paramètres de conservation des contenus). Les valeurs par défaut décrites au §2 s'appliquent en l'absence de configuration.</w:t>
      </w:r>
    </w:p>
    <w:p>
      <w:pPr>
        <w:pStyle w:val="Compact"/>
        <w:numPr>
          <w:ilvl w:val="0"/>
          <w:numId w:val="1023"/>
        </w:numPr>
      </w:pPr>
      <w:r>
        <w:rPr>
          <w:b/>
          <w:bCs/>
        </w:rPr>
        <w:t xml:space="preserve">Portée.</w:t>
      </w:r>
      <w:r>
        <w:t xml:space="preserve"> </w:t>
      </w:r>
      <w:r>
        <w:t xml:space="preserve">Le paramétrage porte sur les contenus (audio, transcriptions, documents, générations IA). Les durées de journaux et de sauvegardes sont encadrées par des plafonds de sécurité non extensibles au-delà des maxima indiqués.</w:t>
      </w:r>
    </w:p>
    <w:p>
      <w:pPr>
        <w:pStyle w:val="BlockText"/>
      </w:pPr>
      <w:r>
        <w:rPr>
          <w:b/>
          <w:bCs/>
        </w:rPr>
        <w:t xml:space="preserve">[À CONFIRMER]</w:t>
      </w:r>
      <w:r>
        <w:t xml:space="preserve"> </w:t>
      </w:r>
      <w:r>
        <w:t xml:space="preserve">: granularité exacte de l'écran de paramétrage exposé au Client (par catégorie de contenu vs global) à préciser lors de l'implantation.</w:t>
      </w:r>
    </w:p>
    <w:bookmarkEnd w:id="105"/>
    <w:bookmarkStart w:id="106" w:name="X1d0319beef65ea0df674594c854de041152a72f"/>
    <w:p>
      <w:pPr>
        <w:pStyle w:val="Heading2"/>
      </w:pPr>
      <w:r>
        <w:t xml:space="preserve">4. Comportement à l'expiration</w:t>
      </w:r>
    </w:p>
    <w:p>
      <w:pPr>
        <w:pStyle w:val="FirstParagraph"/>
      </w:pPr>
      <w:r>
        <w:t xml:space="preserve">À l'échéance de la durée configurée, les contenus concernés sont</w:t>
      </w:r>
      <w:r>
        <w:t xml:space="preserve"> </w:t>
      </w:r>
      <w:r>
        <w:rPr>
          <w:b/>
          <w:bCs/>
        </w:rPr>
        <w:t xml:space="preserve">supprimés</w:t>
      </w:r>
      <w:r>
        <w:t xml:space="preserve"> </w:t>
      </w:r>
      <w:r>
        <w:t xml:space="preserve">de la base de production. La suppression est ensuite répercutée sur les sauvegardes selon leur cycle de rotation (au plus tard sous 90 jours). Les embeddings vocaux ne sont jamais concernés par ce cycle : ils sont détruits en fin de requête, sans persistance.</w:t>
      </w:r>
    </w:p>
    <w:bookmarkEnd w:id="106"/>
    <w:bookmarkStart w:id="109" w:name="X642f55ef0aa0c247a15d6aa27fe4cf2e6ba3f07"/>
    <w:p>
      <w:pPr>
        <w:pStyle w:val="Heading2"/>
      </w:pPr>
      <w:r>
        <w:t xml:space="preserve">5. Articulation avec l'effacement (article 17) et la fin de contrat</w:t>
      </w:r>
    </w:p>
    <w:bookmarkStart w:id="107" w:name="X654578143815b3d75c0d5ff552a26ad0ff2644e"/>
    <w:p>
      <w:pPr>
        <w:pStyle w:val="Heading3"/>
      </w:pPr>
      <w:r>
        <w:t xml:space="preserve">5.1 Effacement à la demande (article 17)</w:t>
      </w:r>
    </w:p>
    <w:p>
      <w:pPr>
        <w:pStyle w:val="Compact"/>
        <w:numPr>
          <w:ilvl w:val="0"/>
          <w:numId w:val="1024"/>
        </w:numPr>
      </w:pPr>
      <w:r>
        <w:t xml:space="preserve">L'effacement est disponible par</w:t>
      </w:r>
      <w:r>
        <w:t xml:space="preserve"> </w:t>
      </w:r>
      <w:r>
        <w:rPr>
          <w:b/>
          <w:bCs/>
        </w:rPr>
        <w:t xml:space="preserve">demande certifiée tracée</w:t>
      </w:r>
      <w:r>
        <w:t xml:space="preserve"> </w:t>
      </w:r>
      <w:r>
        <w:t xml:space="preserve">(Réglages → Portabilité) : la requête est journalisée dans les</w:t>
      </w:r>
      <w:r>
        <w:t xml:space="preserve"> </w:t>
      </w:r>
      <w:r>
        <w:rPr>
          <w:rStyle w:val="VerbatimChar"/>
        </w:rPr>
        <w:t xml:space="preserve">audit_logs</w:t>
      </w:r>
      <w:r>
        <w:t xml:space="preserve">, un</w:t>
      </w:r>
      <w:r>
        <w:t xml:space="preserve"> </w:t>
      </w:r>
      <w:r>
        <w:rPr>
          <w:b/>
          <w:bCs/>
        </w:rPr>
        <w:t xml:space="preserve">workflow de purge</w:t>
      </w:r>
      <w:r>
        <w:t xml:space="preserve"> </w:t>
      </w:r>
      <w:r>
        <w:t xml:space="preserve">est déclenché dans le délai légal, et un</w:t>
      </w:r>
      <w:r>
        <w:t xml:space="preserve"> </w:t>
      </w:r>
      <w:r>
        <w:rPr>
          <w:b/>
          <w:bCs/>
        </w:rPr>
        <w:t xml:space="preserve">certificat de suppression</w:t>
      </w:r>
      <w:r>
        <w:t xml:space="preserve"> </w:t>
      </w:r>
      <w:r>
        <w:t xml:space="preserve">est émis.</w:t>
      </w:r>
    </w:p>
    <w:p>
      <w:pPr>
        <w:pStyle w:val="Compact"/>
        <w:numPr>
          <w:ilvl w:val="0"/>
          <w:numId w:val="1024"/>
        </w:numPr>
      </w:pPr>
      <w:r>
        <w:t xml:space="preserve">La purge en production est répercutée sur les sauvegardes selon la rotation (≤ 90 jours).</w:t>
      </w:r>
    </w:p>
    <w:bookmarkEnd w:id="107"/>
    <w:bookmarkStart w:id="108" w:name="X24c1a499b9b0bdbba0fe8f8d5e8b857df025d88"/>
    <w:p>
      <w:pPr>
        <w:pStyle w:val="Heading3"/>
      </w:pPr>
      <w:r>
        <w:t xml:space="preserve">5.2 Fin de contrat (DPA §11)</w:t>
      </w:r>
    </w:p>
    <w:p>
      <w:pPr>
        <w:pStyle w:val="FirstParagraph"/>
      </w:pPr>
      <w:r>
        <w:t xml:space="preserve">À la fin du contrat, le Client choisit par instruction écrite entre</w:t>
      </w:r>
      <w:r>
        <w:t xml:space="preserve"> </w:t>
      </w:r>
      <w:r>
        <w:rPr>
          <w:b/>
          <w:bCs/>
        </w:rPr>
        <w:t xml:space="preserve">restitution</w:t>
      </w:r>
      <w:r>
        <w:t xml:space="preserve"> </w:t>
      </w:r>
      <w:r>
        <w:t xml:space="preserve">et</w:t>
      </w:r>
      <w:r>
        <w:t xml:space="preserve"> </w:t>
      </w:r>
      <w:r>
        <w:rPr>
          <w:b/>
          <w:bCs/>
        </w:rPr>
        <w:t xml:space="preserve">suppression</w:t>
      </w:r>
      <w:r>
        <w:t xml:space="preserve"> </w:t>
      </w:r>
      <w:r>
        <w:t xml:space="preserve">:</w:t>
      </w:r>
    </w:p>
    <w:p>
      <w:pPr>
        <w:pStyle w:val="Compact"/>
        <w:numPr>
          <w:ilvl w:val="0"/>
          <w:numId w:val="1025"/>
        </w:numPr>
      </w:pPr>
      <w:r>
        <w:rPr>
          <w:b/>
          <w:bCs/>
        </w:rPr>
        <w:t xml:space="preserve">Restitution</w:t>
      </w:r>
      <w:r>
        <w:t xml:space="preserve"> </w:t>
      </w:r>
      <w:r>
        <w:t xml:space="preserve">: mise à disposition d'un export standard (</w:t>
      </w:r>
      <w:r>
        <w:rPr>
          <w:rStyle w:val="VerbatimChar"/>
        </w:rPr>
        <w:t xml:space="preserve">.tar.gz</w:t>
      </w:r>
      <w:r>
        <w:t xml:space="preserve"> </w:t>
      </w:r>
      <w:r>
        <w:t xml:space="preserve">signé SHA-256 par tenant).</w:t>
      </w:r>
    </w:p>
    <w:p>
      <w:pPr>
        <w:pStyle w:val="Compact"/>
        <w:numPr>
          <w:ilvl w:val="0"/>
          <w:numId w:val="1025"/>
        </w:numPr>
      </w:pPr>
      <w:r>
        <w:rPr>
          <w:b/>
          <w:bCs/>
        </w:rPr>
        <w:t xml:space="preserve">Suppression</w:t>
      </w:r>
      <w:r>
        <w:t xml:space="preserve"> </w:t>
      </w:r>
      <w:r>
        <w:t xml:space="preserve">des données de production :</w:t>
      </w:r>
      <w:r>
        <w:t xml:space="preserve"> </w:t>
      </w:r>
      <w:r>
        <w:rPr>
          <w:b/>
          <w:bCs/>
        </w:rPr>
        <w:t xml:space="preserve">≤ 30 jours</w:t>
      </w:r>
      <w:r>
        <w:t xml:space="preserve"> </w:t>
      </w:r>
      <w:r>
        <w:t xml:space="preserve">calendaires après la fin effective du contrat ou la réception de l'instruction (date la plus tardive retenue).</w:t>
      </w:r>
    </w:p>
    <w:p>
      <w:pPr>
        <w:pStyle w:val="Compact"/>
        <w:numPr>
          <w:ilvl w:val="0"/>
          <w:numId w:val="1025"/>
        </w:numPr>
      </w:pPr>
      <w:r>
        <w:rPr>
          <w:b/>
          <w:bCs/>
        </w:rPr>
        <w:t xml:space="preserve">Purge des sauvegardes</w:t>
      </w:r>
      <w:r>
        <w:t xml:space="preserve"> </w:t>
      </w:r>
      <w:r>
        <w:t xml:space="preserve">résiduelles :</w:t>
      </w:r>
      <w:r>
        <w:t xml:space="preserve"> </w:t>
      </w:r>
      <w:r>
        <w:rPr>
          <w:b/>
          <w:bCs/>
        </w:rPr>
        <w:t xml:space="preserve">≤ 90 jours</w:t>
      </w:r>
      <w:r>
        <w:t xml:space="preserve"> </w:t>
      </w:r>
      <w:r>
        <w:t xml:space="preserve">calendaires (cycle de rotation), sauf obligation légale.</w:t>
      </w:r>
    </w:p>
    <w:p>
      <w:pPr>
        <w:pStyle w:val="Compact"/>
        <w:numPr>
          <w:ilvl w:val="0"/>
          <w:numId w:val="1025"/>
        </w:numPr>
      </w:pPr>
      <w:r>
        <w:rPr>
          <w:b/>
          <w:bCs/>
        </w:rPr>
        <w:t xml:space="preserve">Certificat</w:t>
      </w:r>
      <w:r>
        <w:t xml:space="preserve"> </w:t>
      </w:r>
      <w:r>
        <w:t xml:space="preserve">de suppression ou de restitution : fourni sous</w:t>
      </w:r>
      <w:r>
        <w:t xml:space="preserve"> </w:t>
      </w:r>
      <w:r>
        <w:rPr>
          <w:b/>
          <w:bCs/>
        </w:rPr>
        <w:t xml:space="preserve">30 jours</w:t>
      </w:r>
      <w:r>
        <w:t xml:space="preserve"> </w:t>
      </w:r>
      <w:r>
        <w:t xml:space="preserve">après l'achèvement de l'opération.</w:t>
      </w:r>
    </w:p>
    <w:p>
      <w:pPr>
        <w:pStyle w:val="SourceCode"/>
      </w:pPr>
      <w:r>
        <w:rPr>
          <w:rStyle w:val="VerbatimChar"/>
        </w:rPr>
        <w:t xml:space="preserve">Fin de contrat</w:t>
      </w:r>
      <w:r>
        <w:br/>
      </w:r>
      <w:r>
        <w:rPr>
          <w:rStyle w:val="VerbatimChar"/>
        </w:rPr>
        <w:t xml:space="preserve">   |</w:t>
      </w:r>
      <w:r>
        <w:br/>
      </w:r>
      <w:r>
        <w:rPr>
          <w:rStyle w:val="VerbatimChar"/>
        </w:rPr>
        <w:t xml:space="preserve">   |-- choix écrit du Client</w:t>
      </w:r>
      <w:r>
        <w:br/>
      </w:r>
      <w:r>
        <w:rPr>
          <w:rStyle w:val="VerbatimChar"/>
        </w:rPr>
        <w:t xml:space="preserve">   |        |</w:t>
      </w:r>
      <w:r>
        <w:br/>
      </w:r>
      <w:r>
        <w:rPr>
          <w:rStyle w:val="VerbatimChar"/>
        </w:rPr>
        <w:t xml:space="preserve">   |        |-- Restitution : export .tar.gz signé (SHA-256)</w:t>
      </w:r>
      <w:r>
        <w:br/>
      </w:r>
      <w:r>
        <w:rPr>
          <w:rStyle w:val="VerbatimChar"/>
        </w:rPr>
        <w:t xml:space="preserve">   |        \-- Suppression :</w:t>
      </w:r>
      <w:r>
        <w:br/>
      </w:r>
      <w:r>
        <w:rPr>
          <w:rStyle w:val="VerbatimChar"/>
        </w:rPr>
        <w:t xml:space="preserve">   |               [J+30 max] purge production</w:t>
      </w:r>
      <w:r>
        <w:br/>
      </w:r>
      <w:r>
        <w:rPr>
          <w:rStyle w:val="VerbatimChar"/>
        </w:rPr>
        <w:t xml:space="preserve">   |               [J+90 max] purge sauvegardes</w:t>
      </w:r>
      <w:r>
        <w:br/>
      </w:r>
      <w:r>
        <w:rPr>
          <w:rStyle w:val="VerbatimChar"/>
        </w:rPr>
        <w:t xml:space="preserve">   |</w:t>
      </w:r>
      <w:r>
        <w:br/>
      </w:r>
      <w:r>
        <w:rPr>
          <w:rStyle w:val="VerbatimChar"/>
        </w:rPr>
        <w:t xml:space="preserve">   \-- Certificat de suppression / restitution [+30 j après achèvement]</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108"/>
    <w:bookmarkEnd w:id="109"/>
    <w:bookmarkEnd w:id="110"/>
    <w:bookmarkStart w:id="122" w:name="Xdce4b62ecfec95499a77a7d1958b03ff9ff737c"/>
    <w:p>
      <w:pPr>
        <w:pStyle w:val="Heading1"/>
      </w:pPr>
      <w:r>
        <w:t xml:space="preserve">Modèles et fournisseurs d'intelligence artificielle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OHA-RGPD-06</w:t>
            </w:r>
          </w:p>
        </w:tc>
      </w:tr>
      <w:tr>
        <w:tc>
          <w:tcPr/>
          <w:p>
            <w:pPr>
              <w:pStyle w:val="Compact"/>
            </w:pPr>
            <w:r>
              <w:t xml:space="preserve">Objet</w:t>
            </w:r>
          </w:p>
        </w:tc>
        <w:tc>
          <w:tcPr/>
          <w:p>
            <w:pPr>
              <w:pStyle w:val="Compact"/>
            </w:pPr>
            <w:r>
              <w:t xml:space="preserve">Documentation des modèles et fournisseurs IA : données transmises, conservation, non-entraînement</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Destinataire</w:t>
            </w:r>
          </w:p>
        </w:tc>
        <w:tc>
          <w:tcPr/>
          <w:p>
            <w:pPr>
              <w:pStyle w:val="Compact"/>
            </w:pPr>
            <w:r>
              <w:t xml:space="preserve">Organisation cliente (document type)</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111" w:name="Xf1e621f1e00816d4df6a5d87990d4fe96ac2cec"/>
    <w:p>
      <w:pPr>
        <w:pStyle w:val="Heading2"/>
      </w:pPr>
      <w:r>
        <w:t xml:space="preserve">1. Objet</w:t>
      </w:r>
    </w:p>
    <w:p>
      <w:pPr>
        <w:pStyle w:val="FirstParagraph"/>
      </w:pPr>
      <w:r>
        <w:t xml:space="preserve">Le présent document documente les modèles et fournisseurs d'intelligence artificielle susceptibles d'être utilisés par TranscribIA, les données transmises à chacun, les durées de conservation côté fournisseur, les accès humains éventuels, les garanties de non-entraînement, et les modalités de changement de modèle ou de fournisseur.</w:t>
      </w:r>
    </w:p>
    <w:bookmarkEnd w:id="111"/>
    <w:bookmarkStart w:id="115" w:name="Xd1e5903fdf70abcf5368fef1c81a5eb86161bbb"/>
    <w:p>
      <w:pPr>
        <w:pStyle w:val="Heading2"/>
      </w:pPr>
      <w:r>
        <w:t xml:space="preserve">2. Modèles et fournisseurs susceptibles d'être utilisés</w:t>
      </w:r>
    </w:p>
    <w:bookmarkStart w:id="112" w:name="X94ec6f3ea1c75825c24d0d3494eaefc6983c2a1"/>
    <w:p>
      <w:pPr>
        <w:pStyle w:val="Heading3"/>
      </w:pPr>
      <w:r>
        <w:t xml:space="preserve">2.1 Génération de texte (LLM) — architecture à deux voies</w:t>
      </w:r>
    </w:p>
    <w:p>
      <w:pPr>
        <w:pStyle w:val="FirstParagraph"/>
      </w:pPr>
      <w:r>
        <w:t xml:space="preserve">Les fonctions IA (correction, résumé, procès-verbal, chapitrage, analyse) reposent sur une passerelle multi-configurations (</w:t>
      </w:r>
      <w:r>
        <w:rPr>
          <w:rStyle w:val="VerbatimChar"/>
        </w:rPr>
        <w:t xml:space="preserve">LlmGateway</w:t>
      </w:r>
      <w:r>
        <w:t xml:space="preserve">) avec bascule par priorité (3 essais, backoff, délai maximal 300 s) et rotation multi-comptes. L'architecture retenue (décision du 2026-07-24) distingue une</w:t>
      </w:r>
      <w:r>
        <w:t xml:space="preserve"> </w:t>
      </w:r>
      <w:r>
        <w:rPr>
          <w:b/>
          <w:bCs/>
        </w:rPr>
        <w:t xml:space="preserve">voie primaire</w:t>
      </w:r>
      <w:r>
        <w:t xml:space="preserve"> </w:t>
      </w:r>
      <w:r>
        <w:t xml:space="preserve">et une</w:t>
      </w:r>
      <w:r>
        <w:t xml:space="preserve"> </w:t>
      </w:r>
      <w:r>
        <w:rPr>
          <w:b/>
          <w:bCs/>
        </w:rPr>
        <w:t xml:space="preserve">voie de secours</w:t>
      </w:r>
      <w:r>
        <w:t xml:space="preserve">.</w:t>
      </w:r>
    </w:p>
    <w:p>
      <w:pPr>
        <w:pStyle w:val="BodyText"/>
      </w:pPr>
      <w:r>
        <w:rPr>
          <w:b/>
          <w:bCs/>
        </w:rPr>
        <w:t xml:space="preserve">Voie primaire — serveurs vLLM maîtrisés en UE.</w:t>
      </w:r>
      <w:r>
        <w:t xml:space="preserve"> </w:t>
      </w:r>
      <w:r>
        <w:t xml:space="preserve">Par défaut, les requêtes IA sont traitées sur des serveurs GPU</w:t>
      </w:r>
      <w:r>
        <w:t xml:space="preserve"> </w:t>
      </w:r>
      <w:r>
        <w:rPr>
          <w:b/>
          <w:bCs/>
        </w:rPr>
        <w:t xml:space="preserve">maîtrisés par OHADJA exécutant vLLM avec des modèles open-weights</w:t>
      </w:r>
      <w:r>
        <w:t xml:space="preserve">. Ces serveurs sont hébergés</w:t>
      </w:r>
      <w:r>
        <w:t xml:space="preserve"> </w:t>
      </w:r>
      <w:r>
        <w:rPr>
          <w:b/>
          <w:bCs/>
        </w:rPr>
        <w:t xml:space="preserve">en Europe, principalement à Strasbourg et à Paris</w:t>
      </w:r>
      <w:r>
        <w:t xml:space="preserve"> </w:t>
      </w:r>
      <w:r>
        <w:t xml:space="preserve">(ou dans l'infrastructure du Client en Option B). Sur cette voie,</w:t>
      </w:r>
      <w:r>
        <w:t xml:space="preserve"> </w:t>
      </w:r>
      <w:r>
        <w:rPr>
          <w:b/>
          <w:bCs/>
        </w:rPr>
        <w:t xml:space="preserve">aucune donnée n'est transmise à un fournisseur de modèle tiers</w:t>
      </w:r>
      <w:r>
        <w:t xml:space="preserve">.</w:t>
      </w:r>
    </w:p>
    <w:p>
      <w:pPr>
        <w:pStyle w:val="BodyText"/>
      </w:pPr>
      <w:r>
        <w:rPr>
          <w:b/>
          <w:bCs/>
        </w:rPr>
        <w:t xml:space="preserve">Voie de secours — OpenRouter (failover, désactivable).</w:t>
      </w:r>
      <w:r>
        <w:t xml:space="preserve"> </w:t>
      </w:r>
      <w:r>
        <w:t xml:space="preserve">En cas d'indisponibilité de la voie primaire, la passerelle peut basculer vers</w:t>
      </w:r>
      <w:r>
        <w:t xml:space="preserve"> </w:t>
      </w:r>
      <w:r>
        <w:rPr>
          <w:b/>
          <w:bCs/>
        </w:rPr>
        <w:t xml:space="preserve">OpenRouter</w:t>
      </w:r>
      <w:r>
        <w:t xml:space="preserve"> </w:t>
      </w:r>
      <w:r>
        <w:t xml:space="preserve">(Claude, GPT…), avec no-train. Cette voie de secours est</w:t>
      </w:r>
      <w:r>
        <w:t xml:space="preserve"> </w:t>
      </w:r>
      <w:r>
        <w:rPr>
          <w:b/>
          <w:bCs/>
        </w:rPr>
        <w:t xml:space="preserve">désactivable par organisation</w:t>
      </w:r>
      <w:r>
        <w:t xml:space="preserve"> </w:t>
      </w:r>
      <w:r>
        <w:t xml:space="preserve">; le</w:t>
      </w:r>
      <w:r>
        <w:t xml:space="preserve"> </w:t>
      </w:r>
      <w:r>
        <w:rPr>
          <w:b/>
          <w:bCs/>
        </w:rPr>
        <w:t xml:space="preserve">profil « UE strict »</w:t>
      </w:r>
      <w:r>
        <w:t xml:space="preserve"> </w:t>
      </w:r>
      <w:r>
        <w:t xml:space="preserve">la neutralise, garantissant qu'aucune requête IA ne sort de l'UE.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Voie</w:t>
            </w:r>
          </w:p>
        </w:tc>
        <w:tc>
          <w:tcPr/>
          <w:p>
            <w:pPr>
              <w:pStyle w:val="Compact"/>
            </w:pPr>
            <w:r>
              <w:t xml:space="preserve">Modèles</w:t>
            </w:r>
          </w:p>
        </w:tc>
        <w:tc>
          <w:tcPr/>
          <w:p>
            <w:pPr>
              <w:pStyle w:val="Compact"/>
            </w:pPr>
            <w:r>
              <w:t xml:space="preserve">Fournisseur / exécution</w:t>
            </w:r>
          </w:p>
        </w:tc>
        <w:tc>
          <w:tcPr/>
          <w:p>
            <w:pPr>
              <w:pStyle w:val="Compact"/>
            </w:pPr>
            <w:r>
              <w:t xml:space="preserve">Localisation</w:t>
            </w:r>
          </w:p>
        </w:tc>
        <w:tc>
          <w:tcPr/>
          <w:p>
            <w:pPr>
              <w:pStyle w:val="Compact"/>
            </w:pPr>
            <w:r>
              <w:t xml:space="preserve">Transfert hors EEE</w:t>
            </w:r>
          </w:p>
        </w:tc>
      </w:tr>
      <w:tr>
        <w:tc>
          <w:tcPr/>
          <w:p>
            <w:pPr>
              <w:pStyle w:val="Compact"/>
            </w:pPr>
            <w:r>
              <w:rPr>
                <w:b/>
                <w:bCs/>
              </w:rPr>
              <w:t xml:space="preserve">Primaire</w:t>
            </w:r>
          </w:p>
        </w:tc>
        <w:tc>
          <w:tcPr/>
          <w:p>
            <w:pPr>
              <w:pStyle w:val="Compact"/>
            </w:pPr>
            <w:r>
              <w:t xml:space="preserve">Open-weights : Qwen 3.6 ou Mistral [versions à confirmer]</w:t>
            </w:r>
          </w:p>
        </w:tc>
        <w:tc>
          <w:tcPr/>
          <w:p>
            <w:pPr>
              <w:pStyle w:val="Compact"/>
            </w:pPr>
            <w:r>
              <w:t xml:space="preserve">Serveurs vLLM maîtrisés par OHADJA (ou infra client en Option B)</w:t>
            </w:r>
          </w:p>
        </w:tc>
        <w:tc>
          <w:tcPr/>
          <w:p>
            <w:pPr>
              <w:pStyle w:val="Compact"/>
            </w:pPr>
            <w:r>
              <w:t xml:space="preserve">UE — Strasbourg / Paris</w:t>
            </w:r>
          </w:p>
        </w:tc>
        <w:tc>
          <w:tcPr/>
          <w:p>
            <w:pPr>
              <w:pStyle w:val="Compact"/>
            </w:pPr>
            <w:r>
              <w:t xml:space="preserve">Non</w:t>
            </w:r>
          </w:p>
        </w:tc>
      </w:tr>
      <w:tr>
        <w:tc>
          <w:tcPr/>
          <w:p>
            <w:pPr>
              <w:pStyle w:val="Compact"/>
            </w:pPr>
            <w:r>
              <w:rPr>
                <w:b/>
                <w:bCs/>
              </w:rPr>
              <w:t xml:space="preserve">Secours (failover)</w:t>
            </w:r>
          </w:p>
        </w:tc>
        <w:tc>
          <w:tcPr/>
          <w:p>
            <w:pPr>
              <w:pStyle w:val="Compact"/>
            </w:pPr>
            <w:r>
              <w:t xml:space="preserve">Claude, GPT…</w:t>
            </w:r>
          </w:p>
        </w:tc>
        <w:tc>
          <w:tcPr/>
          <w:p>
            <w:pPr>
              <w:pStyle w:val="Compact"/>
            </w:pPr>
            <w:r>
              <w:t xml:space="preserve">via OpenRouter</w:t>
            </w:r>
          </w:p>
        </w:tc>
        <w:tc>
          <w:tcPr/>
          <w:p>
            <w:pPr>
              <w:pStyle w:val="Compact"/>
            </w:pPr>
            <w:r>
              <w:t xml:space="preserve">Routage US possible</w:t>
            </w:r>
          </w:p>
        </w:tc>
        <w:tc>
          <w:tcPr/>
          <w:p>
            <w:pPr>
              <w:pStyle w:val="Compact"/>
            </w:pPr>
            <w:r>
              <w:t xml:space="preserve">Oui —</w:t>
            </w:r>
            <w:r>
              <w:t xml:space="preserve"> </w:t>
            </w:r>
            <w:r>
              <w:rPr>
                <w:b/>
                <w:bCs/>
              </w:rPr>
              <w:t xml:space="preserve">évitable</w:t>
            </w:r>
            <w:r>
              <w:t xml:space="preserve"> </w:t>
            </w:r>
            <w:r>
              <w:t xml:space="preserve">(voie désactivable, profil UE strict)</w:t>
            </w:r>
          </w:p>
        </w:tc>
      </w:tr>
      <w:tr>
        <w:tc>
          <w:tcPr/>
          <w:p>
            <w:pPr>
              <w:pStyle w:val="Compact"/>
            </w:pPr>
            <w:r>
              <w:rPr>
                <w:b/>
                <w:bCs/>
              </w:rPr>
              <w:t xml:space="preserve">Par organisation</w:t>
            </w:r>
          </w:p>
        </w:tc>
        <w:tc>
          <w:tcPr/>
          <w:p>
            <w:pPr>
              <w:pStyle w:val="Compact"/>
            </w:pPr>
            <w:r>
              <w:t xml:space="preserve">Au choix (depuis v1.7.0)</w:t>
            </w:r>
          </w:p>
        </w:tc>
        <w:tc>
          <w:tcPr/>
          <w:p>
            <w:pPr>
              <w:pStyle w:val="Compact"/>
            </w:pPr>
            <w:r>
              <w:t xml:space="preserve">Fournisseur / endpoint défini par l'organisation, y compris auto-hébergé</w:t>
            </w:r>
          </w:p>
        </w:tc>
        <w:tc>
          <w:tcPr/>
          <w:p>
            <w:pPr>
              <w:pStyle w:val="Compact"/>
            </w:pPr>
            <w:r>
              <w:t xml:space="preserve">Selon le choix de l'organisation</w:t>
            </w:r>
          </w:p>
        </w:tc>
        <w:tc>
          <w:tcPr/>
          <w:p>
            <w:pPr>
              <w:pStyle w:val="Compact"/>
            </w:pPr>
            <w:r>
              <w:t xml:space="preserve">Selon le choix</w:t>
            </w:r>
          </w:p>
        </w:tc>
      </w:tr>
    </w:tbl>
    <w:p>
      <w:pPr>
        <w:pStyle w:val="BlockText"/>
      </w:pPr>
      <w:r>
        <w:rPr>
          <w:b/>
          <w:bCs/>
        </w:rPr>
        <w:t xml:space="preserve">[À CONFIRMER]</w:t>
      </w:r>
      <w:r>
        <w:t xml:space="preserve"> </w:t>
      </w:r>
      <w:r>
        <w:t xml:space="preserve">: les versions exactes des modèles open-weights (Qwen 3.6 / Mistral) sont figées à la contractualisation. Les fournisseurs effectivement activés pour le Client sont listés au DPA Annexe 2 et soumis à la procédure de changement (§7).</w:t>
      </w:r>
    </w:p>
    <w:bookmarkEnd w:id="112"/>
    <w:bookmarkStart w:id="113" w:name="X2613d757ec50592d19a7869d075b43d140a05e4"/>
    <w:p>
      <w:pPr>
        <w:pStyle w:val="Heading3"/>
      </w:pPr>
      <w:r>
        <w:t xml:space="preserve">2.2 Transcription et diarisation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Traitement</w:t>
            </w:r>
          </w:p>
        </w:tc>
        <w:tc>
          <w:tcPr/>
          <w:p>
            <w:pPr>
              <w:pStyle w:val="Compact"/>
            </w:pPr>
            <w:r>
              <w:t xml:space="preserve">Technologie</w:t>
            </w:r>
          </w:p>
        </w:tc>
        <w:tc>
          <w:tcPr/>
          <w:p>
            <w:pPr>
              <w:pStyle w:val="Compact"/>
            </w:pPr>
            <w:r>
              <w:t xml:space="preserve">Exécution</w:t>
            </w:r>
          </w:p>
        </w:tc>
      </w:tr>
      <w:tr>
        <w:tc>
          <w:tcPr/>
          <w:p>
            <w:pPr>
              <w:pStyle w:val="Compact"/>
            </w:pPr>
            <w:r>
              <w:t xml:space="preserve">Transcription</w:t>
            </w:r>
          </w:p>
        </w:tc>
        <w:tc>
          <w:tcPr/>
          <w:p>
            <w:pPr>
              <w:pStyle w:val="Compact"/>
            </w:pPr>
            <w:r>
              <w:t xml:space="preserve">whisperX</w:t>
            </w:r>
          </w:p>
        </w:tc>
        <w:tc>
          <w:tcPr/>
          <w:p>
            <w:pPr>
              <w:pStyle w:val="Compact"/>
            </w:pPr>
            <w:r>
              <w:t xml:space="preserve">Serveur GPU dédié (UE lorsque requis) ou GPU local (Option B)</w:t>
            </w:r>
          </w:p>
        </w:tc>
      </w:tr>
      <w:tr>
        <w:tc>
          <w:tcPr/>
          <w:p>
            <w:pPr>
              <w:pStyle w:val="Compact"/>
            </w:pPr>
            <w:r>
              <w:t xml:space="preserve">Diarisation positionnelle</w:t>
            </w:r>
          </w:p>
        </w:tc>
        <w:tc>
          <w:tcPr/>
          <w:p>
            <w:pPr>
              <w:pStyle w:val="Compact"/>
            </w:pPr>
            <w:r>
              <w:t xml:space="preserve">pyannote.audio</w:t>
            </w:r>
          </w:p>
        </w:tc>
        <w:tc>
          <w:tcPr/>
          <w:p>
            <w:pPr>
              <w:pStyle w:val="Compact"/>
            </w:pPr>
            <w:r>
              <w:t xml:space="preserve">Idem</w:t>
            </w:r>
          </w:p>
        </w:tc>
      </w:tr>
    </w:tbl>
    <w:bookmarkEnd w:id="113"/>
    <w:bookmarkStart w:id="114" w:name="Xc42de4c5fcd87d5ce39d074dc24454af63f0e5d"/>
    <w:p>
      <w:pPr>
        <w:pStyle w:val="Heading3"/>
      </w:pPr>
      <w:r>
        <w:t xml:space="preserve">2.3 Configuration LLM par organisation (depuis v1.7.0)</w:t>
      </w:r>
    </w:p>
    <w:p>
      <w:pPr>
        <w:pStyle w:val="FirstParagraph"/>
      </w:pPr>
      <w:r>
        <w:t xml:space="preserve">Chaque organisation peut définir son propre fournisseur, sa clé, son modèle et, le cas échéant, une</w:t>
      </w:r>
      <w:r>
        <w:t xml:space="preserve"> </w:t>
      </w:r>
      <w:r>
        <w:rPr>
          <w:b/>
          <w:bCs/>
        </w:rPr>
        <w:t xml:space="preserve">URL auto-hébergée</w:t>
      </w:r>
      <w:r>
        <w:t xml:space="preserve">. Le comportement est</w:t>
      </w:r>
      <w:r>
        <w:t xml:space="preserve"> </w:t>
      </w:r>
      <w:r>
        <w:rPr>
          <w:b/>
          <w:bCs/>
        </w:rPr>
        <w:t xml:space="preserve">fail-closed</w:t>
      </w:r>
      <w:r>
        <w:t xml:space="preserve"> </w:t>
      </w:r>
      <w:r>
        <w:t xml:space="preserve">: une organisation dotée de configurations propres n'utilise</w:t>
      </w:r>
      <w:r>
        <w:t xml:space="preserve"> </w:t>
      </w:r>
      <w:r>
        <w:rPr>
          <w:b/>
          <w:bCs/>
        </w:rPr>
        <w:t xml:space="preserve">jamais</w:t>
      </w:r>
      <w:r>
        <w:t xml:space="preserve"> </w:t>
      </w:r>
      <w:r>
        <w:t xml:space="preserve">les configurations de la plateforme. Les clés sont isolées, chiffrées en base, jamais réaffichées. Les endpoints auto-hébergés sont protégés par une garde</w:t>
      </w:r>
      <w:r>
        <w:t xml:space="preserve"> </w:t>
      </w:r>
      <w:r>
        <w:rPr>
          <w:b/>
          <w:bCs/>
        </w:rPr>
        <w:t xml:space="preserve">anti-SSRF</w:t>
      </w:r>
      <w:r>
        <w:t xml:space="preserve"> </w:t>
      </w:r>
      <w:r>
        <w:t xml:space="preserve">(validation d'IP publique, épinglage DNS, blocage des IP privées et des adresses de métadonnées).</w:t>
      </w:r>
    </w:p>
    <w:p>
      <w:pPr>
        <w:pStyle w:val="BodyText"/>
      </w:pPr>
      <w:r>
        <w:t xml:space="preserve">Cette fonctionnalité permet le</w:t>
      </w:r>
      <w:r>
        <w:t xml:space="preserve"> </w:t>
      </w:r>
      <w:r>
        <w:rPr>
          <w:b/>
          <w:bCs/>
        </w:rPr>
        <w:t xml:space="preserve">profil « UE strict »</w:t>
      </w:r>
      <w:r>
        <w:t xml:space="preserve"> </w:t>
      </w:r>
      <w:r>
        <w:t xml:space="preserve">(LLM UE ou auto-hébergé) et, en Option B isolée, un fonctionnement</w:t>
      </w:r>
      <w:r>
        <w:t xml:space="preserve"> </w:t>
      </w:r>
      <w:r>
        <w:rPr>
          <w:b/>
          <w:bCs/>
        </w:rPr>
        <w:t xml:space="preserve">sans aucun flux IA sortant</w:t>
      </w:r>
      <w:r>
        <w:t xml:space="preserve">.</w:t>
      </w:r>
    </w:p>
    <w:bookmarkEnd w:id="114"/>
    <w:bookmarkEnd w:id="115"/>
    <w:bookmarkStart w:id="116" w:name="X8cea14ac9afff7602f802dbdf16848ddab328ca"/>
    <w:p>
      <w:pPr>
        <w:pStyle w:val="Heading2"/>
      </w:pPr>
      <w:r>
        <w:t xml:space="preserve">3. Données transmises à chaque fournisseur</w:t>
      </w:r>
    </w:p>
    <w:p>
      <w:pPr>
        <w:pStyle w:val="Compact"/>
        <w:numPr>
          <w:ilvl w:val="0"/>
          <w:numId w:val="1026"/>
        </w:numPr>
      </w:pPr>
      <w:r>
        <w:t xml:space="preserve">Les données transmises au LLM sont</w:t>
      </w:r>
      <w:r>
        <w:t xml:space="preserve"> </w:t>
      </w:r>
      <w:r>
        <w:rPr>
          <w:b/>
          <w:bCs/>
        </w:rPr>
        <w:t xml:space="preserve">uniquement les sources sélectionnées par l'utilisateur</w:t>
      </w:r>
      <w:r>
        <w:t xml:space="preserve"> </w:t>
      </w:r>
      <w:r>
        <w:t xml:space="preserve">: transcriptions, documents, votes, métadonnées, selon la fonction déclenchée.</w:t>
      </w:r>
    </w:p>
    <w:p>
      <w:pPr>
        <w:pStyle w:val="Compact"/>
        <w:numPr>
          <w:ilvl w:val="0"/>
          <w:numId w:val="1026"/>
        </w:numPr>
      </w:pPr>
      <w:r>
        <w:rPr>
          <w:b/>
          <w:bCs/>
        </w:rPr>
        <w:t xml:space="preserve">Minimisation</w:t>
      </w:r>
      <w:r>
        <w:t xml:space="preserve"> </w:t>
      </w:r>
      <w:r>
        <w:t xml:space="preserve">: seules les sources nécessaires à la fonction sont incluses dans le prompt.</w:t>
      </w:r>
    </w:p>
    <w:p>
      <w:pPr>
        <w:pStyle w:val="Compact"/>
        <w:numPr>
          <w:ilvl w:val="0"/>
          <w:numId w:val="1026"/>
        </w:numPr>
      </w:pPr>
      <w:r>
        <w:t xml:space="preserve">Sur la</w:t>
      </w:r>
      <w:r>
        <w:t xml:space="preserve"> </w:t>
      </w:r>
      <w:r>
        <w:rPr>
          <w:b/>
          <w:bCs/>
        </w:rPr>
        <w:t xml:space="preserve">voie primaire (vLLM UE)</w:t>
      </w:r>
      <w:r>
        <w:t xml:space="preserve">, les données ne quittent pas les serveurs maîtrisés par OHADJA (ou l'infra du Client) :</w:t>
      </w:r>
      <w:r>
        <w:t xml:space="preserve"> </w:t>
      </w:r>
      <w:r>
        <w:rPr>
          <w:b/>
          <w:bCs/>
        </w:rPr>
        <w:t xml:space="preserve">aucun tiers</w:t>
      </w:r>
      <w:r>
        <w:t xml:space="preserve"> </w:t>
      </w:r>
      <w:r>
        <w:t xml:space="preserve">n'y accède.</w:t>
      </w:r>
    </w:p>
    <w:p>
      <w:pPr>
        <w:pStyle w:val="Compact"/>
        <w:numPr>
          <w:ilvl w:val="0"/>
          <w:numId w:val="1026"/>
        </w:numPr>
      </w:pPr>
      <w:r>
        <w:t xml:space="preserve">Les</w:t>
      </w:r>
      <w:r>
        <w:t xml:space="preserve"> </w:t>
      </w:r>
      <w:r>
        <w:rPr>
          <w:b/>
          <w:bCs/>
        </w:rPr>
        <w:t xml:space="preserve">sorties</w:t>
      </w:r>
      <w:r>
        <w:t xml:space="preserve"> </w:t>
      </w:r>
      <w:r>
        <w:t xml:space="preserve">générées sont conservées dans le tenant (table</w:t>
      </w:r>
      <w:r>
        <w:t xml:space="preserve"> </w:t>
      </w:r>
      <w:r>
        <w:rPr>
          <w:rStyle w:val="VerbatimChar"/>
        </w:rPr>
        <w:t xml:space="preserve">ai_generations</w:t>
      </w:r>
      <w:r>
        <w:t xml:space="preserve">), éditables et soumises à validation humaine.</w:t>
      </w:r>
    </w:p>
    <w:p>
      <w:pPr>
        <w:pStyle w:val="Compact"/>
        <w:numPr>
          <w:ilvl w:val="0"/>
          <w:numId w:val="1026"/>
        </w:numPr>
      </w:pPr>
      <w:r>
        <w:t xml:space="preserve">Aucun envoi de données au LLM n'a lieu sans action de l'utilisateur.</w:t>
      </w:r>
    </w:p>
    <w:bookmarkEnd w:id="116"/>
    <w:bookmarkStart w:id="117" w:name="X7e25c68b99894fac1e98cdb2271b9848e9f6f11"/>
    <w:p>
      <w:pPr>
        <w:pStyle w:val="Heading2"/>
      </w:pPr>
      <w:r>
        <w:t xml:space="preserve">4. Durées de conservation côté fournisseur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Voie / fournisseur</w:t>
            </w:r>
          </w:p>
        </w:tc>
        <w:tc>
          <w:tcPr/>
          <w:p>
            <w:pPr>
              <w:pStyle w:val="Compact"/>
            </w:pPr>
            <w:r>
              <w:t xml:space="preserve">Conservation côté fournisseur</w:t>
            </w:r>
          </w:p>
        </w:tc>
        <w:tc>
          <w:tcPr/>
          <w:p>
            <w:pPr>
              <w:pStyle w:val="Compact"/>
            </w:pPr>
            <w:r>
              <w:t xml:space="preserve">Entraînement</w:t>
            </w:r>
          </w:p>
        </w:tc>
      </w:tr>
      <w:tr>
        <w:tc>
          <w:tcPr/>
          <w:p>
            <w:pPr>
              <w:pStyle w:val="Compact"/>
            </w:pPr>
            <w:r>
              <w:rPr>
                <w:b/>
                <w:bCs/>
              </w:rPr>
              <w:t xml:space="preserve">Serveurs vLLM maîtrisés (voie primaire, UE)</w:t>
            </w:r>
          </w:p>
        </w:tc>
        <w:tc>
          <w:tcPr/>
          <w:p>
            <w:pPr>
              <w:pStyle w:val="Compact"/>
            </w:pPr>
            <w:r>
              <w:t xml:space="preserve">Aucune transmission à un tiers ; pas de conservation externe</w:t>
            </w:r>
          </w:p>
        </w:tc>
        <w:tc>
          <w:tcPr/>
          <w:p>
            <w:pPr>
              <w:pStyle w:val="Compact"/>
            </w:pPr>
            <w:r>
              <w:t xml:space="preserve">Non</w:t>
            </w:r>
          </w:p>
        </w:tc>
      </w:tr>
      <w:tr>
        <w:tc>
          <w:tcPr/>
          <w:p>
            <w:pPr>
              <w:pStyle w:val="Compact"/>
            </w:pPr>
            <w:r>
              <w:t xml:space="preserve">OpenRouter (voie de secours)</w:t>
            </w:r>
          </w:p>
        </w:tc>
        <w:tc>
          <w:tcPr/>
          <w:p>
            <w:pPr>
              <w:pStyle w:val="Compact"/>
            </w:pPr>
            <w:r>
              <w:t xml:space="preserve">Pas de stockage durable ; no-train activé</w:t>
            </w:r>
          </w:p>
        </w:tc>
        <w:tc>
          <w:tcPr/>
          <w:p>
            <w:pPr>
              <w:pStyle w:val="Compact"/>
            </w:pPr>
            <w:r>
              <w:t xml:space="preserve">Non</w:t>
            </w:r>
          </w:p>
        </w:tc>
      </w:tr>
      <w:tr>
        <w:tc>
          <w:tcPr/>
          <w:p>
            <w:pPr>
              <w:pStyle w:val="Compact"/>
            </w:pPr>
            <w:r>
              <w:t xml:space="preserve">Anthropic / OpenAI (via secours)</w:t>
            </w:r>
          </w:p>
        </w:tc>
        <w:tc>
          <w:tcPr/>
          <w:p>
            <w:pPr>
              <w:pStyle w:val="Compact"/>
            </w:pPr>
            <w:r>
              <w:t xml:space="preserve">Selon DPA fournisseur — rétention limitée</w:t>
            </w:r>
          </w:p>
        </w:tc>
        <w:tc>
          <w:tcPr/>
          <w:p>
            <w:pPr>
              <w:pStyle w:val="Compact"/>
            </w:pPr>
            <w:r>
              <w:t xml:space="preserve">Non (no-train)</w:t>
            </w:r>
          </w:p>
        </w:tc>
      </w:tr>
      <w:tr>
        <w:tc>
          <w:tcPr/>
          <w:p>
            <w:pPr>
              <w:pStyle w:val="Compact"/>
            </w:pPr>
            <w:r>
              <w:t xml:space="preserve">LLM auto-hébergé (par organisation)</w:t>
            </w:r>
          </w:p>
        </w:tc>
        <w:tc>
          <w:tcPr/>
          <w:p>
            <w:pPr>
              <w:pStyle w:val="Compact"/>
            </w:pPr>
            <w:r>
              <w:t xml:space="preserve">Selon la politique du Client (endpoint sous son contrôle)</w:t>
            </w:r>
          </w:p>
        </w:tc>
        <w:tc>
          <w:tcPr/>
          <w:p>
            <w:pPr>
              <w:pStyle w:val="Compact"/>
            </w:pPr>
            <w:r>
              <w:t xml:space="preserve">Selon le Client</w:t>
            </w:r>
          </w:p>
        </w:tc>
      </w:tr>
    </w:tbl>
    <w:p>
      <w:pPr>
        <w:pStyle w:val="BlockText"/>
      </w:pPr>
      <w:r>
        <w:rPr>
          <w:b/>
          <w:bCs/>
        </w:rPr>
        <w:t xml:space="preserve">[À COMPLÉTER par fournisseur]</w:t>
      </w:r>
      <w:r>
        <w:t xml:space="preserve"> </w:t>
      </w:r>
      <w:r>
        <w:t xml:space="preserve">: les durées exactes de rétention côté Anthropic et OpenAI (voie de secours uniquement) sont fixées par leurs DPA respectifs (rétention transitoire pour abus/sécurité, no-train). À préciser fournisseur par fournisseur avant contractualisation.</w:t>
      </w:r>
    </w:p>
    <w:bookmarkEnd w:id="117"/>
    <w:bookmarkStart w:id="118" w:name="X76a0388a0a75e5cd732825608b5174151bb52b1"/>
    <w:p>
      <w:pPr>
        <w:pStyle w:val="Heading2"/>
      </w:pPr>
      <w:r>
        <w:t xml:space="preserve">5. Accès humains éventuels</w:t>
      </w:r>
    </w:p>
    <w:p>
      <w:pPr>
        <w:pStyle w:val="Compact"/>
        <w:numPr>
          <w:ilvl w:val="0"/>
          <w:numId w:val="1027"/>
        </w:numPr>
      </w:pPr>
      <w:r>
        <w:rPr>
          <w:b/>
          <w:bCs/>
        </w:rPr>
        <w:t xml:space="preserve">Côté OHADJA</w:t>
      </w:r>
      <w:r>
        <w:t xml:space="preserve"> </w:t>
      </w:r>
      <w:r>
        <w:t xml:space="preserve">:</w:t>
      </w:r>
      <w:r>
        <w:t xml:space="preserve"> </w:t>
      </w:r>
      <w:r>
        <w:rPr>
          <w:b/>
          <w:bCs/>
        </w:rPr>
        <w:t xml:space="preserve">aucun</w:t>
      </w:r>
      <w:r>
        <w:t xml:space="preserve"> </w:t>
      </w:r>
      <w:r>
        <w:t xml:space="preserve">accès humain aux prompts. Les prompts sont constitués et transmis de manière automatisée par l'application.</w:t>
      </w:r>
    </w:p>
    <w:p>
      <w:pPr>
        <w:pStyle w:val="Compact"/>
        <w:numPr>
          <w:ilvl w:val="0"/>
          <w:numId w:val="1027"/>
        </w:numPr>
      </w:pPr>
      <w:r>
        <w:rPr>
          <w:b/>
          <w:bCs/>
        </w:rPr>
        <w:t xml:space="preserve">Côté fournisseur</w:t>
      </w:r>
      <w:r>
        <w:t xml:space="preserve"> </w:t>
      </w:r>
      <w:r>
        <w:t xml:space="preserve">: encadré par le DPA du fournisseur (accès limité aux finalités de sécurité/abus, sans entraînement).</w:t>
      </w:r>
    </w:p>
    <w:bookmarkEnd w:id="118"/>
    <w:bookmarkStart w:id="119" w:name="X2d6d1fb352eec63ee42824fb7c8bbef9df44f01"/>
    <w:p>
      <w:pPr>
        <w:pStyle w:val="Heading2"/>
      </w:pPr>
      <w:r>
        <w:t xml:space="preserve">6. Garanties de non-entraînement et non-réutilisation</w:t>
      </w:r>
    </w:p>
    <w:p>
      <w:pPr>
        <w:pStyle w:val="Compact"/>
        <w:numPr>
          <w:ilvl w:val="0"/>
          <w:numId w:val="1028"/>
        </w:numPr>
      </w:pPr>
      <w:r>
        <w:rPr>
          <w:b/>
          <w:bCs/>
        </w:rPr>
        <w:t xml:space="preserve">Voie primaire (vLLM UE)</w:t>
      </w:r>
      <w:r>
        <w:t xml:space="preserve"> </w:t>
      </w:r>
      <w:r>
        <w:t xml:space="preserve">: modèles</w:t>
      </w:r>
      <w:r>
        <w:t xml:space="preserve"> </w:t>
      </w:r>
      <w:r>
        <w:rPr>
          <w:b/>
          <w:bCs/>
        </w:rPr>
        <w:t xml:space="preserve">open-weights</w:t>
      </w:r>
      <w:r>
        <w:t xml:space="preserve"> </w:t>
      </w:r>
      <w:r>
        <w:t xml:space="preserve">exécutés sur des serveurs maîtrisés ; les prompts ne sont</w:t>
      </w:r>
      <w:r>
        <w:t xml:space="preserve"> </w:t>
      </w:r>
      <w:r>
        <w:rPr>
          <w:b/>
          <w:bCs/>
        </w:rPr>
        <w:t xml:space="preserve">pas</w:t>
      </w:r>
      <w:r>
        <w:t xml:space="preserve"> </w:t>
      </w:r>
      <w:r>
        <w:t xml:space="preserve">utilisés pour entraîner les modèles et ne sont transmis à</w:t>
      </w:r>
      <w:r>
        <w:t xml:space="preserve"> </w:t>
      </w:r>
      <w:r>
        <w:rPr>
          <w:b/>
          <w:bCs/>
        </w:rPr>
        <w:t xml:space="preserve">aucun tiers</w:t>
      </w:r>
      <w:r>
        <w:t xml:space="preserve">.</w:t>
      </w:r>
    </w:p>
    <w:p>
      <w:pPr>
        <w:pStyle w:val="Compact"/>
        <w:numPr>
          <w:ilvl w:val="0"/>
          <w:numId w:val="1028"/>
        </w:numPr>
      </w:pPr>
      <w:r>
        <w:rPr>
          <w:b/>
          <w:bCs/>
        </w:rPr>
        <w:t xml:space="preserve">Voie de secours</w:t>
      </w:r>
      <w:r>
        <w:t xml:space="preserve"> </w:t>
      </w:r>
      <w:r>
        <w:t xml:space="preserve">:</w:t>
      </w:r>
      <w:r>
        <w:t xml:space="preserve"> </w:t>
      </w:r>
      <w:r>
        <w:rPr>
          <w:b/>
          <w:bCs/>
        </w:rPr>
        <w:t xml:space="preserve">no-train flag</w:t>
      </w:r>
      <w:r>
        <w:t xml:space="preserve"> </w:t>
      </w:r>
      <w:r>
        <w:t xml:space="preserve">activé au niveau de la passerelle OpenRouter.</w:t>
      </w:r>
    </w:p>
    <w:p>
      <w:pPr>
        <w:pStyle w:val="Compact"/>
        <w:numPr>
          <w:ilvl w:val="0"/>
          <w:numId w:val="1028"/>
        </w:numPr>
      </w:pPr>
      <w:r>
        <w:t xml:space="preserve">Engagement contractuel de non-entraînement repris au</w:t>
      </w:r>
      <w:r>
        <w:t xml:space="preserve"> </w:t>
      </w:r>
      <w:r>
        <w:rPr>
          <w:b/>
          <w:bCs/>
        </w:rPr>
        <w:t xml:space="preserve">DPA (Annexe 3 §8)</w:t>
      </w:r>
      <w:r>
        <w:t xml:space="preserve"> </w:t>
      </w:r>
      <w:r>
        <w:t xml:space="preserve">: les données transmises aux sous-traitants IA ne sont pas utilisées par OHADJA pour entraîner ses propres modèles, sauf instruction expresse et séparée du Client.</w:t>
      </w:r>
    </w:p>
    <w:p>
      <w:pPr>
        <w:pStyle w:val="Compact"/>
        <w:numPr>
          <w:ilvl w:val="0"/>
          <w:numId w:val="1028"/>
        </w:numPr>
      </w:pPr>
      <w:r>
        <w:t xml:space="preserve">Pas de réutilisation des contenus à d'autres fins que l'exécution de la requête du Client.</w:t>
      </w:r>
    </w:p>
    <w:bookmarkEnd w:id="119"/>
    <w:bookmarkStart w:id="120" w:name="Xbbcbe0aef55d7b3e216a9333077b0de9e5a8f3f"/>
    <w:p>
      <w:pPr>
        <w:pStyle w:val="Heading2"/>
      </w:pPr>
      <w:r>
        <w:t xml:space="preserve">7. Modalités de changement de modèle / fournisseur</w:t>
      </w:r>
    </w:p>
    <w:p>
      <w:pPr>
        <w:pStyle w:val="Compact"/>
        <w:numPr>
          <w:ilvl w:val="0"/>
          <w:numId w:val="1029"/>
        </w:numPr>
      </w:pPr>
      <w:r>
        <w:t xml:space="preserve">Le changement de modèle ou de fournisseur peut être opéré</w:t>
      </w:r>
      <w:r>
        <w:t xml:space="preserve"> </w:t>
      </w:r>
      <w:r>
        <w:rPr>
          <w:b/>
          <w:bCs/>
        </w:rPr>
        <w:t xml:space="preserve">par la plateforme</w:t>
      </w:r>
      <w:r>
        <w:t xml:space="preserve"> </w:t>
      </w:r>
      <w:r>
        <w:t xml:space="preserve">ou</w:t>
      </w:r>
      <w:r>
        <w:t xml:space="preserve"> </w:t>
      </w:r>
      <w:r>
        <w:rPr>
          <w:b/>
          <w:bCs/>
        </w:rPr>
        <w:t xml:space="preserve">par l'organisation</w:t>
      </w:r>
      <w:r>
        <w:t xml:space="preserve"> </w:t>
      </w:r>
      <w:r>
        <w:t xml:space="preserve">(configuration LLM par organisation).</w:t>
      </w:r>
    </w:p>
    <w:p>
      <w:pPr>
        <w:pStyle w:val="Compact"/>
        <w:numPr>
          <w:ilvl w:val="0"/>
          <w:numId w:val="1029"/>
        </w:numPr>
      </w:pPr>
      <w:r>
        <w:t xml:space="preserve">Tout</w:t>
      </w:r>
      <w:r>
        <w:t xml:space="preserve"> </w:t>
      </w:r>
      <w:r>
        <w:rPr>
          <w:b/>
          <w:bCs/>
        </w:rPr>
        <w:t xml:space="preserve">ajout ou remplacement</w:t>
      </w:r>
      <w:r>
        <w:t xml:space="preserve"> </w:t>
      </w:r>
      <w:r>
        <w:t xml:space="preserve">de fournisseur au niveau plateforme est soumis à</w:t>
      </w:r>
      <w:r>
        <w:t xml:space="preserve"> </w:t>
      </w:r>
      <w:r>
        <w:rPr>
          <w:b/>
          <w:bCs/>
        </w:rPr>
        <w:t xml:space="preserve">préavis de 30 jours + droit d'objection</w:t>
      </w:r>
      <w:r>
        <w:t xml:space="preserve"> </w:t>
      </w:r>
      <w:r>
        <w:t xml:space="preserve">du Client (DPA §6).</w:t>
      </w:r>
    </w:p>
    <w:p>
      <w:pPr>
        <w:pStyle w:val="Compact"/>
        <w:numPr>
          <w:ilvl w:val="0"/>
          <w:numId w:val="1029"/>
        </w:numPr>
      </w:pPr>
      <w:r>
        <w:t xml:space="preserve">Le Client peut, à tout moment,</w:t>
      </w:r>
      <w:r>
        <w:t xml:space="preserve"> </w:t>
      </w:r>
      <w:r>
        <w:rPr>
          <w:b/>
          <w:bCs/>
        </w:rPr>
        <w:t xml:space="preserve">fixer lui-même</w:t>
      </w:r>
      <w:r>
        <w:t xml:space="preserve"> </w:t>
      </w:r>
      <w:r>
        <w:t xml:space="preserve">son fournisseur via la configuration par organisation, y compris un LLM auto-hébergé.</w:t>
      </w:r>
    </w:p>
    <w:bookmarkEnd w:id="120"/>
    <w:bookmarkStart w:id="121" w:name="Xd7f952ce444fe0cff542caac7e328f2beb9cd73"/>
    <w:p>
      <w:pPr>
        <w:pStyle w:val="Heading2"/>
      </w:pPr>
      <w:r>
        <w:t xml:space="preserve">8. Transparence des sorties</w:t>
      </w:r>
    </w:p>
    <w:p>
      <w:pPr>
        <w:pStyle w:val="Compact"/>
        <w:numPr>
          <w:ilvl w:val="0"/>
          <w:numId w:val="1030"/>
        </w:numPr>
      </w:pPr>
      <w:r>
        <w:t xml:space="preserve">Les sorties IA sont</w:t>
      </w:r>
      <w:r>
        <w:t xml:space="preserve"> </w:t>
      </w:r>
      <w:r>
        <w:rPr>
          <w:b/>
          <w:bCs/>
        </w:rPr>
        <w:t xml:space="preserve">conservées dans le tenant</w:t>
      </w:r>
      <w:r>
        <w:t xml:space="preserve"> </w:t>
      </w:r>
      <w:r>
        <w:t xml:space="preserve">du Client.</w:t>
      </w:r>
    </w:p>
    <w:p>
      <w:pPr>
        <w:pStyle w:val="Compact"/>
        <w:numPr>
          <w:ilvl w:val="0"/>
          <w:numId w:val="1030"/>
        </w:numPr>
      </w:pPr>
      <w:r>
        <w:t xml:space="preserve">Elles sont</w:t>
      </w:r>
      <w:r>
        <w:t xml:space="preserve"> </w:t>
      </w:r>
      <w:r>
        <w:rPr>
          <w:b/>
          <w:bCs/>
        </w:rPr>
        <w:t xml:space="preserve">éditables</w:t>
      </w:r>
      <w:r>
        <w:t xml:space="preserve"> </w:t>
      </w:r>
      <w:r>
        <w:t xml:space="preserve">par les utilisateurs autorisés.</w:t>
      </w:r>
    </w:p>
    <w:p>
      <w:pPr>
        <w:pStyle w:val="Compact"/>
        <w:numPr>
          <w:ilvl w:val="0"/>
          <w:numId w:val="1030"/>
        </w:numPr>
      </w:pPr>
      <w:r>
        <w:t xml:space="preserve">Elles font l'objet d'une</w:t>
      </w:r>
      <w:r>
        <w:t xml:space="preserve"> </w:t>
      </w:r>
      <w:r>
        <w:rPr>
          <w:b/>
          <w:bCs/>
        </w:rPr>
        <w:t xml:space="preserve">validation humaine</w:t>
      </w:r>
      <w:r>
        <w:t xml:space="preserve"> </w:t>
      </w:r>
      <w:r>
        <w:t xml:space="preserve">avant d'être retenues (notamment pour les suggestions d'identification de locuteurs, voir OHA-RGPD-07).</w:t>
      </w:r>
    </w:p>
    <w:p>
      <w:pPr>
        <w:pStyle w:val="Compact"/>
        <w:numPr>
          <w:ilvl w:val="0"/>
          <w:numId w:val="1030"/>
        </w:numPr>
      </w:pPr>
      <w:r>
        <w:t xml:space="preserve">Aucune décision produisant des effets juridiques n'est prise de manière entièrement automatisée par la plateforme.</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121"/>
    <w:bookmarkEnd w:id="122"/>
    <w:bookmarkStart w:id="139" w:name="X60112580242ccd233cbd012b1ec70b56adebcf6"/>
    <w:p>
      <w:pPr>
        <w:pStyle w:val="Heading1"/>
      </w:pPr>
      <w:r>
        <w:t xml:space="preserve">Note technique d'analyse RGPD — Identification des intervenants et corrélation vocale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OHA-RGPD-07</w:t>
            </w:r>
          </w:p>
        </w:tc>
      </w:tr>
      <w:tr>
        <w:tc>
          <w:tcPr/>
          <w:p>
            <w:pPr>
              <w:pStyle w:val="Compact"/>
            </w:pPr>
            <w:r>
              <w:t xml:space="preserve">Objet</w:t>
            </w:r>
          </w:p>
        </w:tc>
        <w:tc>
          <w:tcPr/>
          <w:p>
            <w:pPr>
              <w:pStyle w:val="Compact"/>
            </w:pPr>
            <w:r>
              <w:t xml:space="preserve">Analyse RGPD de la diarisation, de l'attribution manuelle et de la corrélation vocale éphémère</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Destinataire</w:t>
            </w:r>
          </w:p>
        </w:tc>
        <w:tc>
          <w:tcPr/>
          <w:p>
            <w:pPr>
              <w:pStyle w:val="Compact"/>
            </w:pPr>
            <w:r>
              <w:t xml:space="preserve">Organisation cliente (document type)</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123" w:name="sommaire"/>
    <w:p>
      <w:pPr>
        <w:pStyle w:val="Heading2"/>
      </w:pPr>
      <w:r>
        <w:t xml:space="preserve">Sommaire</w:t>
      </w:r>
    </w:p>
    <w:p>
      <w:pPr>
        <w:pStyle w:val="Compact"/>
        <w:numPr>
          <w:ilvl w:val="0"/>
          <w:numId w:val="1031"/>
        </w:numPr>
      </w:pPr>
      <w:r>
        <w:t xml:space="preserve">Contexte et fonctionnalités concernées</w:t>
      </w:r>
    </w:p>
    <w:p>
      <w:pPr>
        <w:pStyle w:val="Compact"/>
        <w:numPr>
          <w:ilvl w:val="0"/>
          <w:numId w:val="1031"/>
        </w:numPr>
      </w:pPr>
      <w:r>
        <w:t xml:space="preserve">Description technique précise</w:t>
      </w:r>
    </w:p>
    <w:p>
      <w:pPr>
        <w:pStyle w:val="Compact"/>
        <w:numPr>
          <w:ilvl w:val="0"/>
          <w:numId w:val="1031"/>
        </w:numPr>
      </w:pPr>
      <w:r>
        <w:t xml:space="preserve">Analyse juridique (articles 4.14 et 9 RGPD)</w:t>
      </w:r>
    </w:p>
    <w:p>
      <w:pPr>
        <w:pStyle w:val="Compact"/>
        <w:numPr>
          <w:ilvl w:val="0"/>
          <w:numId w:val="1031"/>
        </w:numPr>
      </w:pPr>
      <w:r>
        <w:t xml:space="preserve">Encadrement mis en place</w:t>
      </w:r>
    </w:p>
    <w:p>
      <w:pPr>
        <w:pStyle w:val="Compact"/>
        <w:numPr>
          <w:ilvl w:val="0"/>
          <w:numId w:val="1031"/>
        </w:numPr>
      </w:pPr>
      <w:r>
        <w:t xml:space="preserve">Mesures techniques et organisationnelles dédiées</w:t>
      </w:r>
    </w:p>
    <w:p>
      <w:pPr>
        <w:pStyle w:val="Compact"/>
        <w:numPr>
          <w:ilvl w:val="0"/>
          <w:numId w:val="1031"/>
        </w:numPr>
      </w:pPr>
      <w:r>
        <w:t xml:space="preserve">Limites et recommandations au responsable de traitement</w:t>
      </w:r>
    </w:p>
    <w:p>
      <w:r>
        <w:pict>
          <v:rect style="width:0;height:1.5pt" o:hralign="center" o:hrstd="t" o:hr="t"/>
        </w:pict>
      </w:r>
    </w:p>
    <w:bookmarkEnd w:id="123"/>
    <w:bookmarkStart w:id="127" w:name="X2eef3329d32e5831a22b5ff6ee8d5d9ac74e61a"/>
    <w:p>
      <w:pPr>
        <w:pStyle w:val="Heading2"/>
      </w:pPr>
      <w:r>
        <w:t xml:space="preserve">1. Contexte et fonctionnalités concernées</w:t>
      </w:r>
    </w:p>
    <w:p>
      <w:pPr>
        <w:pStyle w:val="FirstParagraph"/>
      </w:pPr>
      <w:r>
        <w:t xml:space="preserve">TranscribIA met en œuvre l'identification des intervenants au moyen de</w:t>
      </w:r>
      <w:r>
        <w:t xml:space="preserve"> </w:t>
      </w:r>
      <w:r>
        <w:rPr>
          <w:b/>
          <w:bCs/>
        </w:rPr>
        <w:t xml:space="preserve">trois traitements distincts</w:t>
      </w:r>
      <w:r>
        <w:t xml:space="preserve">, dont l'encadrement RGPD diffère. Il est essentiel de ne pas les confondre.</w:t>
      </w:r>
    </w:p>
    <w:bookmarkStart w:id="124" w:name="Xfc860c796c8e649ab4456ed892617adad2d30ce"/>
    <w:p>
      <w:pPr>
        <w:pStyle w:val="Heading3"/>
      </w:pPr>
      <w:r>
        <w:t xml:space="preserve">1.1 Diarisation positionnelle automatique</w:t>
      </w:r>
    </w:p>
    <w:p>
      <w:pPr>
        <w:pStyle w:val="FirstParagraph"/>
      </w:pPr>
      <w:r>
        <w:t xml:space="preserve">À l'arrivée d'un fichier audio, le serveur de transcription exécute une diarisation par</w:t>
      </w:r>
      <w:r>
        <w:t xml:space="preserve"> </w:t>
      </w:r>
      <w:r>
        <w:rPr>
          <w:rStyle w:val="VerbatimChar"/>
        </w:rPr>
        <w:t xml:space="preserve">pyannote.audio</w:t>
      </w:r>
      <w:r>
        <w:t xml:space="preserve"> </w:t>
      </w:r>
      <w:r>
        <w:t xml:space="preserve">qui produit des</w:t>
      </w:r>
      <w:r>
        <w:t xml:space="preserve"> </w:t>
      </w:r>
      <w:r>
        <w:rPr>
          <w:b/>
          <w:bCs/>
        </w:rPr>
        <w:t xml:space="preserve">étiquettes positionnelles anonymes</w:t>
      </w:r>
      <w:r>
        <w:t xml:space="preserve"> </w:t>
      </w:r>
      <w:r>
        <w:t xml:space="preserve">(« Speaker 1 », « Speaker 2 »…). Ces étiquettes indiquent que deux segments d'une même session appartiennent au</w:t>
      </w:r>
      <w:r>
        <w:t xml:space="preserve"> </w:t>
      </w:r>
      <w:r>
        <w:rPr>
          <w:b/>
          <w:bCs/>
        </w:rPr>
        <w:t xml:space="preserve">même</w:t>
      </w:r>
      <w:r>
        <w:t xml:space="preserve"> </w:t>
      </w:r>
      <w:r>
        <w:t xml:space="preserve">locuteur, sans dire</w:t>
      </w:r>
      <w:r>
        <w:t xml:space="preserve"> </w:t>
      </w:r>
      <w:r>
        <w:rPr>
          <w:b/>
          <w:bCs/>
        </w:rPr>
        <w:t xml:space="preserve">qui</w:t>
      </w:r>
      <w:r>
        <w:t xml:space="preserve"> </w:t>
      </w:r>
      <w:r>
        <w:t xml:space="preserve">il est. Aucun gabarit vocal n'est conservé au-delà de la durée de traitement du job.</w:t>
      </w:r>
    </w:p>
    <w:bookmarkEnd w:id="124"/>
    <w:bookmarkStart w:id="125" w:name="Xfe6b3bdac694c9f53024d943134b553687eec1a"/>
    <w:p>
      <w:pPr>
        <w:pStyle w:val="Heading3"/>
      </w:pPr>
      <w:r>
        <w:t xml:space="preserve">1.2 Attribution manuelle et aides au remplissage</w:t>
      </w:r>
    </w:p>
    <w:p>
      <w:pPr>
        <w:pStyle w:val="FirstParagraph"/>
      </w:pPr>
      <w:r>
        <w:t xml:space="preserve">Un opérateur autorisé du Client ouvre la session transcrite et saisit, pour chaque « Speaker N », un</w:t>
      </w:r>
      <w:r>
        <w:t xml:space="preserve"> </w:t>
      </w:r>
      <w:r>
        <w:rPr>
          <w:b/>
          <w:bCs/>
        </w:rPr>
        <w:t xml:space="preserve">nom humain</w:t>
      </w:r>
      <w:r>
        <w:t xml:space="preserve"> </w:t>
      </w:r>
      <w:r>
        <w:t xml:space="preserve">(« Marie Dupont », « M. le Président », « Rapporteur »…). Cette opération est</w:t>
      </w:r>
      <w:r>
        <w:t xml:space="preserve"> </w:t>
      </w:r>
      <w:r>
        <w:rPr>
          <w:b/>
          <w:bCs/>
        </w:rPr>
        <w:t xml:space="preserve">strictement manuelle</w:t>
      </w:r>
      <w:r>
        <w:t xml:space="preserve">. Des aides accélèrent la saisie</w:t>
      </w:r>
      <w:r>
        <w:t xml:space="preserve"> </w:t>
      </w:r>
      <w:r>
        <w:rPr>
          <w:b/>
          <w:bCs/>
        </w:rPr>
        <w:t xml:space="preserve">sans jamais analyser la voix</w:t>
      </w:r>
      <w:r>
        <w:t xml:space="preserve"> </w:t>
      </w:r>
      <w:r>
        <w:t xml:space="preserve">: détection de mentions de prénoms par traitement du texte (NLP), autocomplétion à partir de la liste des membres connus du tenant, historique des libellés déjà saisis.</w:t>
      </w:r>
    </w:p>
    <w:bookmarkEnd w:id="125"/>
    <w:bookmarkStart w:id="126" w:name="Xa8943c0f25401ec25616e1f35c33523ff19503a"/>
    <w:p>
      <w:pPr>
        <w:pStyle w:val="Heading3"/>
      </w:pPr>
      <w:r>
        <w:t xml:space="preserve">1.3 Corrélation vocale éphémère (« voice correlation »)</w:t>
      </w:r>
    </w:p>
    <w:p>
      <w:pPr>
        <w:pStyle w:val="FirstParagraph"/>
      </w:pPr>
      <w:r>
        <w:t xml:space="preserve">Depuis le</w:t>
      </w:r>
      <w:r>
        <w:t xml:space="preserve"> </w:t>
      </w:r>
      <w:r>
        <w:rPr>
          <w:b/>
          <w:bCs/>
        </w:rPr>
        <w:t xml:space="preserve">18 mai 2026</w:t>
      </w:r>
      <w:r>
        <w:t xml:space="preserve">, TranscribIA propose une fonctionnalité</w:t>
      </w:r>
      <w:r>
        <w:t xml:space="preserve"> </w:t>
      </w:r>
      <w:r>
        <w:rPr>
          <w:b/>
          <w:bCs/>
        </w:rPr>
        <w:t xml:space="preserve">désactivée par défaut</w:t>
      </w:r>
      <w:r>
        <w:t xml:space="preserve"> </w:t>
      </w:r>
      <w:r>
        <w:t xml:space="preserve">permettant,</w:t>
      </w:r>
      <w:r>
        <w:t xml:space="preserve"> </w:t>
      </w:r>
      <w:r>
        <w:rPr>
          <w:b/>
          <w:bCs/>
        </w:rPr>
        <w:t xml:space="preserve">au sein d'un même tenant</w:t>
      </w:r>
      <w:r>
        <w:t xml:space="preserve">, une comparaison vocale</w:t>
      </w:r>
      <w:r>
        <w:t xml:space="preserve"> </w:t>
      </w:r>
      <w:r>
        <w:rPr>
          <w:b/>
          <w:bCs/>
        </w:rPr>
        <w:t xml:space="preserve">éphémère</w:t>
      </w:r>
      <w:r>
        <w:t xml:space="preserve"> </w:t>
      </w:r>
      <w:r>
        <w:t xml:space="preserve">entre segments (voire entre sessions) afin de</w:t>
      </w:r>
      <w:r>
        <w:t xml:space="preserve"> </w:t>
      </w:r>
      <w:r>
        <w:rPr>
          <w:b/>
          <w:bCs/>
        </w:rPr>
        <w:t xml:space="preserve">proposer</w:t>
      </w:r>
      <w:r>
        <w:t xml:space="preserve"> </w:t>
      </w:r>
      <w:r>
        <w:t xml:space="preserve">un rapprochement entre un locuteur détecté et un nom d'intervenant déjà saisi. Ce traitement calcule temporairement des caractéristiques vocales en mémoire vive,</w:t>
      </w:r>
      <w:r>
        <w:t xml:space="preserve"> </w:t>
      </w:r>
      <w:r>
        <w:rPr>
          <w:b/>
          <w:bCs/>
        </w:rPr>
        <w:t xml:space="preserve">sans constitution de gabarit biométrique persistant</w:t>
      </w:r>
      <w:r>
        <w:t xml:space="preserve">. Il ne peut être activé que par le responsable de traitement, est strictement</w:t>
      </w:r>
      <w:r>
        <w:t xml:space="preserve"> </w:t>
      </w:r>
      <w:r>
        <w:rPr>
          <w:b/>
          <w:bCs/>
        </w:rPr>
        <w:t xml:space="preserve">opt-in</w:t>
      </w:r>
      <w:r>
        <w:t xml:space="preserve">, et suppose la signature préalable d'un</w:t>
      </w:r>
      <w:r>
        <w:t xml:space="preserve"> </w:t>
      </w:r>
      <w:r>
        <w:rPr>
          <w:b/>
          <w:bCs/>
        </w:rPr>
        <w:t xml:space="preserve">avenant DPA dédié</w:t>
      </w:r>
      <w:r>
        <w:t xml:space="preserve"> </w:t>
      </w:r>
      <w:r>
        <w:t xml:space="preserve">et la réalisation d'une</w:t>
      </w:r>
      <w:r>
        <w:t xml:space="preserve"> </w:t>
      </w:r>
      <w:r>
        <w:rPr>
          <w:b/>
          <w:bCs/>
        </w:rPr>
        <w:t xml:space="preserve">AIPD</w:t>
      </w:r>
      <w:r>
        <w:t xml:space="preserve"> </w:t>
      </w:r>
      <w:r>
        <w:t xml:space="preserve">(article 35).</w:t>
      </w:r>
    </w:p>
    <w:p>
      <w:pPr>
        <w:pStyle w:val="BodyText"/>
      </w:pPr>
      <w:r>
        <w:rPr>
          <w:b/>
          <w:bCs/>
        </w:rPr>
        <w:t xml:space="preserve">Ces trois traitements sont d'encadrement croissant : (1) non biométrique et automatique ; (2) manuel, sans analyse de la voix ; (3) optionnel, à risque, fortement encadré.</w:t>
      </w:r>
    </w:p>
    <w:p>
      <w:r>
        <w:pict>
          <v:rect style="width:0;height:1.5pt" o:hralign="center" o:hrstd="t" o:hr="t"/>
        </w:pict>
      </w:r>
    </w:p>
    <w:bookmarkEnd w:id="126"/>
    <w:bookmarkEnd w:id="127"/>
    <w:bookmarkStart w:id="131" w:name="Xb589f5d8bbdf56a9351a5d7e25535f1fb8a904c"/>
    <w:p>
      <w:pPr>
        <w:pStyle w:val="Heading2"/>
      </w:pPr>
      <w:r>
        <w:t xml:space="preserve">2. Description technique précise</w:t>
      </w:r>
    </w:p>
    <w:bookmarkStart w:id="128" w:name="X664890d8427c66974ee0053fac4e14594a425d7"/>
    <w:p>
      <w:pPr>
        <w:pStyle w:val="Heading3"/>
      </w:pPr>
      <w:r>
        <w:t xml:space="preserve">2.1 Chaîne de diarisation</w:t>
      </w:r>
    </w:p>
    <w:p>
      <w:pPr>
        <w:pStyle w:val="Compact"/>
        <w:numPr>
          <w:ilvl w:val="0"/>
          <w:numId w:val="1032"/>
        </w:numPr>
      </w:pPr>
      <w:r>
        <w:t xml:space="preserve">Moteur :</w:t>
      </w:r>
      <w:r>
        <w:t xml:space="preserve"> </w:t>
      </w:r>
      <w:r>
        <w:rPr>
          <w:rStyle w:val="VerbatimChar"/>
        </w:rPr>
        <w:t xml:space="preserve">pyannote.audio</w:t>
      </w:r>
      <w:r>
        <w:t xml:space="preserve">, exécuté sur le serveur GPU de transcription (UE lorsque requis ; GPU local en Option B).</w:t>
      </w:r>
    </w:p>
    <w:p>
      <w:pPr>
        <w:pStyle w:val="Compact"/>
        <w:numPr>
          <w:ilvl w:val="0"/>
          <w:numId w:val="1032"/>
        </w:numPr>
      </w:pPr>
      <w:r>
        <w:t xml:space="preserve">Sortie : segments horodatés portant une</w:t>
      </w:r>
      <w:r>
        <w:t xml:space="preserve"> </w:t>
      </w:r>
      <w:r>
        <w:rPr>
          <w:b/>
          <w:bCs/>
        </w:rPr>
        <w:t xml:space="preserve">étiquette positionnelle</w:t>
      </w:r>
      <w:r>
        <w:t xml:space="preserve"> </w:t>
      </w:r>
      <w:r>
        <w:t xml:space="preserve">« Speaker N » propre à la session.</w:t>
      </w:r>
    </w:p>
    <w:p>
      <w:pPr>
        <w:pStyle w:val="Compact"/>
        <w:numPr>
          <w:ilvl w:val="0"/>
          <w:numId w:val="1032"/>
        </w:numPr>
      </w:pPr>
      <w:r>
        <w:t xml:space="preserve">Les embeddings calculés en interne pour distinguer les locuteurs d'une session existent</w:t>
      </w:r>
      <w:r>
        <w:t xml:space="preserve"> </w:t>
      </w:r>
      <w:r>
        <w:rPr>
          <w:b/>
          <w:bCs/>
        </w:rPr>
        <w:t xml:space="preserve">en mémoire vive</w:t>
      </w:r>
      <w:r>
        <w:t xml:space="preserve"> </w:t>
      </w:r>
      <w:r>
        <w:t xml:space="preserve">le temps du traitement et sont</w:t>
      </w:r>
      <w:r>
        <w:t xml:space="preserve"> </w:t>
      </w:r>
      <w:r>
        <w:rPr>
          <w:b/>
          <w:bCs/>
        </w:rPr>
        <w:t xml:space="preserve">libérés à la fin du job</w:t>
      </w:r>
      <w:r>
        <w:t xml:space="preserve">. Aucun « voiceprint » n'est écrit sur disque de façon persistante.</w:t>
      </w:r>
    </w:p>
    <w:bookmarkEnd w:id="128"/>
    <w:bookmarkStart w:id="129" w:name="Xe0659354dd6c47a68f8590356d1261887329b03"/>
    <w:p>
      <w:pPr>
        <w:pStyle w:val="Heading3"/>
      </w:pPr>
      <w:r>
        <w:t xml:space="preserve">2.2 Cycle de vie des embeddings vocaux (corrélation vocale)</w:t>
      </w:r>
    </w:p>
    <w:p>
      <w:pPr>
        <w:pStyle w:val="SourceCode"/>
      </w:pPr>
      <w:r>
        <w:rPr>
          <w:rStyle w:val="VerbatimChar"/>
        </w:rPr>
        <w:t xml:space="preserve">Requête de corrélation vocale (opt-in, tenant activé)</w:t>
      </w:r>
      <w:r>
        <w:br/>
      </w:r>
      <w:r>
        <w:rPr>
          <w:rStyle w:val="VerbatimChar"/>
        </w:rPr>
        <w:t xml:space="preserve">   |</w:t>
      </w:r>
      <w:r>
        <w:br/>
      </w:r>
      <w:r>
        <w:rPr>
          <w:rStyle w:val="VerbatimChar"/>
        </w:rPr>
        <w:t xml:space="preserve">   |-- extraction de caractéristiques vocales -&gt; EMBEDDINGS EN RAM</w:t>
      </w:r>
      <w:r>
        <w:br/>
      </w:r>
      <w:r>
        <w:rPr>
          <w:rStyle w:val="VerbatimChar"/>
        </w:rPr>
        <w:t xml:space="preserve">   |        (tmpfs lorsque l'environnement le permet ; swap désactivé</w:t>
      </w:r>
      <w:r>
        <w:br/>
      </w:r>
      <w:r>
        <w:rPr>
          <w:rStyle w:val="VerbatimChar"/>
        </w:rPr>
        <w:t xml:space="preserve">   |         pour les workers concernés lorsque possible)</w:t>
      </w:r>
      <w:r>
        <w:br/>
      </w:r>
      <w:r>
        <w:rPr>
          <w:rStyle w:val="VerbatimChar"/>
        </w:rPr>
        <w:t xml:space="preserve">   |</w:t>
      </w:r>
      <w:r>
        <w:br/>
      </w:r>
      <w:r>
        <w:rPr>
          <w:rStyle w:val="VerbatimChar"/>
        </w:rPr>
        <w:t xml:space="preserve">   |-- comparaison éphémère -&gt; SUGGESTION d'association (score)</w:t>
      </w:r>
      <w:r>
        <w:br/>
      </w:r>
      <w:r>
        <w:rPr>
          <w:rStyle w:val="VerbatimChar"/>
        </w:rPr>
        <w:t xml:space="preserve">   |</w:t>
      </w:r>
      <w:r>
        <w:br/>
      </w:r>
      <w:r>
        <w:rPr>
          <w:rStyle w:val="VerbatimChar"/>
        </w:rPr>
        <w:t xml:space="preserve">   |-- validation HUMAINE requise avant toute attribution</w:t>
      </w:r>
      <w:r>
        <w:br/>
      </w:r>
      <w:r>
        <w:rPr>
          <w:rStyle w:val="VerbatimChar"/>
        </w:rPr>
        <w:t xml:space="preserve">   |</w:t>
      </w:r>
      <w:r>
        <w:br/>
      </w:r>
      <w:r>
        <w:rPr>
          <w:rStyle w:val="VerbatimChar"/>
        </w:rPr>
        <w:t xml:space="preserve">   \-- DESTRUCTION des embeddings et fichiers temporaires</w:t>
      </w:r>
      <w:r>
        <w:br/>
      </w:r>
      <w:r>
        <w:rPr>
          <w:rStyle w:val="VerbatimChar"/>
        </w:rPr>
        <w:t xml:space="preserve">            en fin de requête (bloc `finally`)</w:t>
      </w:r>
      <w:r>
        <w:br/>
      </w:r>
      <w:r>
        <w:rPr>
          <w:rStyle w:val="VerbatimChar"/>
        </w:rPr>
        <w:t xml:space="preserve">            -&gt; aucun gabarit persistant, aucune empreinte réutilisable conservée</w:t>
      </w:r>
    </w:p>
    <w:bookmarkEnd w:id="129"/>
    <w:bookmarkStart w:id="130" w:name="Xf92b267a21904b6a5b828e759033baaed12a0f1"/>
    <w:p>
      <w:pPr>
        <w:pStyle w:val="Heading3"/>
      </w:pPr>
      <w:r>
        <w:t xml:space="preserve">2.3 Caractéristiques clés</w:t>
      </w:r>
    </w:p>
    <w:p>
      <w:pPr>
        <w:pStyle w:val="Compact"/>
        <w:numPr>
          <w:ilvl w:val="0"/>
          <w:numId w:val="1033"/>
        </w:numPr>
      </w:pPr>
      <w:r>
        <w:rPr>
          <w:b/>
          <w:bCs/>
        </w:rPr>
        <w:t xml:space="preserve">Pas de gabarit persistant</w:t>
      </w:r>
      <w:r>
        <w:t xml:space="preserve"> </w:t>
      </w:r>
      <w:r>
        <w:t xml:space="preserve">: aucune base de « voiceprints » n'est constituée ni conservée.</w:t>
      </w:r>
    </w:p>
    <w:p>
      <w:pPr>
        <w:pStyle w:val="Compact"/>
        <w:numPr>
          <w:ilvl w:val="0"/>
          <w:numId w:val="1033"/>
        </w:numPr>
      </w:pPr>
      <w:r>
        <w:rPr>
          <w:b/>
          <w:bCs/>
        </w:rPr>
        <w:t xml:space="preserve">RAM / tmpfs</w:t>
      </w:r>
      <w:r>
        <w:t xml:space="preserve"> </w:t>
      </w:r>
      <w:r>
        <w:t xml:space="preserve">: les embeddings sont calculés en mémoire vive ; des espaces temporaires de type</w:t>
      </w:r>
      <w:r>
        <w:t xml:space="preserve"> </w:t>
      </w:r>
      <w:r>
        <w:rPr>
          <w:rStyle w:val="VerbatimChar"/>
        </w:rPr>
        <w:t xml:space="preserve">tmpfs</w:t>
      </w:r>
      <w:r>
        <w:t xml:space="preserve"> </w:t>
      </w:r>
      <w:r>
        <w:t xml:space="preserve">sont utilisés lorsque l'environnement le permet ; le swap est désactivé pour les workers concernés lorsque cela est compatible avec la stabilité de l'infrastructure.</w:t>
      </w:r>
    </w:p>
    <w:p>
      <w:pPr>
        <w:pStyle w:val="Compact"/>
        <w:numPr>
          <w:ilvl w:val="0"/>
          <w:numId w:val="1033"/>
        </w:numPr>
      </w:pPr>
      <w:r>
        <w:rPr>
          <w:b/>
          <w:bCs/>
        </w:rPr>
        <w:t xml:space="preserve">Destruction déterministe</w:t>
      </w:r>
      <w:r>
        <w:t xml:space="preserve"> </w:t>
      </w:r>
      <w:r>
        <w:t xml:space="preserve">: nettoyage dans les blocs de fin de traitement (</w:t>
      </w:r>
      <w:r>
        <w:rPr>
          <w:rStyle w:val="VerbatimChar"/>
        </w:rPr>
        <w:t xml:space="preserve">finally</w:t>
      </w:r>
      <w:r>
        <w:t xml:space="preserve">), y compris en cas d'erreur.</w:t>
      </w:r>
    </w:p>
    <w:p>
      <w:pPr>
        <w:pStyle w:val="Compact"/>
        <w:numPr>
          <w:ilvl w:val="0"/>
          <w:numId w:val="1033"/>
        </w:numPr>
      </w:pPr>
      <w:r>
        <w:rPr>
          <w:b/>
          <w:bCs/>
        </w:rPr>
        <w:t xml:space="preserve">Isolation par tenant</w:t>
      </w:r>
      <w:r>
        <w:t xml:space="preserve"> </w:t>
      </w:r>
      <w:r>
        <w:t xml:space="preserve">: la comparaison ne franchit jamais les frontières d'une organisation.</w:t>
      </w:r>
    </w:p>
    <w:p>
      <w:pPr>
        <w:pStyle w:val="Compact"/>
        <w:numPr>
          <w:ilvl w:val="0"/>
          <w:numId w:val="1033"/>
        </w:numPr>
      </w:pPr>
      <w:r>
        <w:rPr>
          <w:b/>
          <w:bCs/>
        </w:rPr>
        <w:t xml:space="preserve">Aucun entraînement</w:t>
      </w:r>
      <w:r>
        <w:t xml:space="preserve"> </w:t>
      </w:r>
      <w:r>
        <w:t xml:space="preserve">: les embeddings ne servent jamais à entraîner un modèle.</w:t>
      </w:r>
    </w:p>
    <w:p>
      <w:pPr>
        <w:pStyle w:val="Compact"/>
        <w:numPr>
          <w:ilvl w:val="0"/>
          <w:numId w:val="1033"/>
        </w:numPr>
      </w:pPr>
      <w:r>
        <w:rPr>
          <w:b/>
          <w:bCs/>
        </w:rPr>
        <w:t xml:space="preserve">Journalisation minimale</w:t>
      </w:r>
      <w:r>
        <w:t xml:space="preserve"> </w:t>
      </w:r>
      <w:r>
        <w:t xml:space="preserve">: les logs se limitent aux événements techniques nécessaires ; ils ne contiennent ni empreintes, ni vecteurs, ni extraits vocaux.</w:t>
      </w:r>
    </w:p>
    <w:p>
      <w:r>
        <w:pict>
          <v:rect style="width:0;height:1.5pt" o:hralign="center" o:hrstd="t" o:hr="t"/>
        </w:pict>
      </w:r>
    </w:p>
    <w:bookmarkEnd w:id="130"/>
    <w:bookmarkEnd w:id="131"/>
    <w:bookmarkStart w:id="135" w:name="Xbbcb5772bf69e66207c72d41906a9a28473aea2"/>
    <w:p>
      <w:pPr>
        <w:pStyle w:val="Heading2"/>
      </w:pPr>
      <w:r>
        <w:t xml:space="preserve">3. Analyse juridique (articles 4.14 et 9 RGPD)</w:t>
      </w:r>
    </w:p>
    <w:bookmarkStart w:id="132" w:name="Xcc24839d29b6498a7812c1d11362bc190165131"/>
    <w:p>
      <w:pPr>
        <w:pStyle w:val="Heading3"/>
      </w:pPr>
      <w:r>
        <w:t xml:space="preserve">3.1 Définition de la donnée biométrique</w:t>
      </w:r>
    </w:p>
    <w:p>
      <w:pPr>
        <w:pStyle w:val="FirstParagraph"/>
      </w:pPr>
      <w:r>
        <w:t xml:space="preserve">L'article</w:t>
      </w:r>
      <w:r>
        <w:t xml:space="preserve"> </w:t>
      </w:r>
      <w:r>
        <w:rPr>
          <w:b/>
          <w:bCs/>
        </w:rPr>
        <w:t xml:space="preserve">4.14</w:t>
      </w:r>
      <w:r>
        <w:t xml:space="preserve"> </w:t>
      </w:r>
      <w:r>
        <w:t xml:space="preserve">du RGPD définit les données biométriques comme « les données à caractère personnel résultant d'un traitement technique spécifique, relatives aux caractéristiques physiques, physiologiques ou comportementales d'une personne physique,</w:t>
      </w:r>
      <w:r>
        <w:t xml:space="preserve"> </w:t>
      </w:r>
      <w:r>
        <w:rPr>
          <w:b/>
          <w:bCs/>
        </w:rPr>
        <w:t xml:space="preserve">qui permettent ou confirment son identification unique</w:t>
      </w:r>
      <w:r>
        <w:t xml:space="preserve"> </w:t>
      </w:r>
      <w:r>
        <w:t xml:space="preserve">». L'article</w:t>
      </w:r>
      <w:r>
        <w:t xml:space="preserve"> </w:t>
      </w:r>
      <w:r>
        <w:rPr>
          <w:b/>
          <w:bCs/>
        </w:rPr>
        <w:t xml:space="preserve">9</w:t>
      </w:r>
      <w:r>
        <w:t xml:space="preserve"> </w:t>
      </w:r>
      <w:r>
        <w:t xml:space="preserve">interdit, par principe, le traitement des données biométriques</w:t>
      </w:r>
      <w:r>
        <w:t xml:space="preserve"> </w:t>
      </w:r>
      <w:r>
        <w:rPr>
          <w:b/>
          <w:bCs/>
        </w:rPr>
        <w:t xml:space="preserve">aux fins d'identifier une personne physique de manière unique</w:t>
      </w:r>
      <w:r>
        <w:t xml:space="preserve">, sauf exceptions.</w:t>
      </w:r>
    </w:p>
    <w:bookmarkEnd w:id="132"/>
    <w:bookmarkStart w:id="133" w:name="X283329c369380fcd20427ac76dfaeceb715812a"/>
    <w:p>
      <w:pPr>
        <w:pStyle w:val="Heading3"/>
      </w:pPr>
      <w:r>
        <w:t xml:space="preserve">3.2 Position retenue</w:t>
      </w:r>
    </w:p>
    <w:p>
      <w:pPr>
        <w:pStyle w:val="FirstParagraph"/>
      </w:pPr>
      <w:r>
        <w:t xml:space="preserve">La CNIL, dans ses lignes directrices sur la biométrie (2019, actualisées), retient que la qualification biométrique au sens de l'article 9 suppose un traitement</w:t>
      </w:r>
      <w:r>
        <w:t xml:space="preserve"> </w:t>
      </w:r>
      <w:r>
        <w:rPr>
          <w:b/>
          <w:bCs/>
        </w:rPr>
        <w:t xml:space="preserve">destiné à identifier de manière unique</w:t>
      </w:r>
      <w:r>
        <w:t xml:space="preserve"> </w:t>
      </w:r>
      <w:r>
        <w:t xml:space="preserve">une personne, typiquement au moyen d'un</w:t>
      </w:r>
      <w:r>
        <w:t xml:space="preserve"> </w:t>
      </w:r>
      <w:r>
        <w:rPr>
          <w:b/>
          <w:bCs/>
        </w:rPr>
        <w:t xml:space="preserve">gabarit conservé</w:t>
      </w:r>
      <w:r>
        <w:t xml:space="preserve"> </w:t>
      </w:r>
      <w:r>
        <w:t xml:space="preserve">servant de référence.</w:t>
      </w:r>
    </w:p>
    <w:p>
      <w:pPr>
        <w:pStyle w:val="Compact"/>
        <w:numPr>
          <w:ilvl w:val="0"/>
          <w:numId w:val="1034"/>
        </w:numPr>
      </w:pPr>
      <w:r>
        <w:rPr>
          <w:b/>
          <w:bCs/>
        </w:rPr>
        <w:t xml:space="preserve">Diarisation positionnelle (1.1)</w:t>
      </w:r>
      <w:r>
        <w:t xml:space="preserve"> </w:t>
      </w:r>
      <w:r>
        <w:t xml:space="preserve">: elle produit des étiquettes anonymes et</w:t>
      </w:r>
      <w:r>
        <w:t xml:space="preserve"> </w:t>
      </w:r>
      <w:r>
        <w:rPr>
          <w:b/>
          <w:bCs/>
        </w:rPr>
        <w:t xml:space="preserve">ne conserve aucun gabarit</w:t>
      </w:r>
      <w:r>
        <w:t xml:space="preserve"> </w:t>
      </w:r>
      <w:r>
        <w:t xml:space="preserve">à des fins d'identification unique. Elle</w:t>
      </w:r>
      <w:r>
        <w:t xml:space="preserve"> </w:t>
      </w:r>
      <w:r>
        <w:rPr>
          <w:b/>
          <w:bCs/>
        </w:rPr>
        <w:t xml:space="preserve">n'est pas</w:t>
      </w:r>
      <w:r>
        <w:t xml:space="preserve"> </w:t>
      </w:r>
      <w:r>
        <w:t xml:space="preserve">un traitement biométrique au sens de l'article 9.</w:t>
      </w:r>
    </w:p>
    <w:p>
      <w:pPr>
        <w:pStyle w:val="Compact"/>
        <w:numPr>
          <w:ilvl w:val="0"/>
          <w:numId w:val="1034"/>
        </w:numPr>
      </w:pPr>
      <w:r>
        <w:rPr>
          <w:b/>
          <w:bCs/>
        </w:rPr>
        <w:t xml:space="preserve">Attribution manuelle (1.2)</w:t>
      </w:r>
      <w:r>
        <w:t xml:space="preserve"> </w:t>
      </w:r>
      <w:r>
        <w:t xml:space="preserve">: elle n'analyse pas la voix ; elle n'est pas biométrique.</w:t>
      </w:r>
    </w:p>
    <w:p>
      <w:pPr>
        <w:pStyle w:val="Compact"/>
        <w:numPr>
          <w:ilvl w:val="0"/>
          <w:numId w:val="1034"/>
        </w:numPr>
      </w:pPr>
      <w:r>
        <w:rPr>
          <w:b/>
          <w:bCs/>
        </w:rPr>
        <w:t xml:space="preserve">Corrélation vocale éphémère (1.3)</w:t>
      </w:r>
      <w:r>
        <w:t xml:space="preserve"> </w:t>
      </w:r>
      <w:r>
        <w:t xml:space="preserve">: elle porte sur des caractéristiques vocales mais</w:t>
      </w:r>
      <w:r>
        <w:t xml:space="preserve"> </w:t>
      </w:r>
      <w:r>
        <w:rPr>
          <w:b/>
          <w:bCs/>
        </w:rPr>
        <w:t xml:space="preserve">ne constitue pas de gabarit biométrique persistant</w:t>
      </w:r>
      <w:r>
        <w:t xml:space="preserve"> </w:t>
      </w:r>
      <w:r>
        <w:t xml:space="preserve">ni d'empreinte réutilisable conservée à des fins d'identification unique. Un traitement</w:t>
      </w:r>
      <w:r>
        <w:t xml:space="preserve"> </w:t>
      </w:r>
      <w:r>
        <w:rPr>
          <w:b/>
          <w:bCs/>
        </w:rPr>
        <w:t xml:space="preserve">sans gabarit conservé à des fins d'identification unique</w:t>
      </w:r>
      <w:r>
        <w:t xml:space="preserve"> </w:t>
      </w:r>
      <w:r>
        <w:t xml:space="preserve">ne relève pas, en principe, de l'article 9.</w:t>
      </w:r>
    </w:p>
    <w:bookmarkEnd w:id="133"/>
    <w:bookmarkStart w:id="134" w:name="X470b402a547457927122d4841351e7a4d626738"/>
    <w:p>
      <w:pPr>
        <w:pStyle w:val="Heading3"/>
      </w:pPr>
      <w:r>
        <w:t xml:space="preserve">3.3 Qualification retenue par prudence</w:t>
      </w:r>
    </w:p>
    <w:p>
      <w:pPr>
        <w:pStyle w:val="FirstParagraph"/>
      </w:pPr>
      <w:r>
        <w:t xml:space="preserve">Bien que la corrélation vocale éphémère ne constitue pas, en l'état, un traitement biométrique au sens de l'article 9, OHADJA la traite</w:t>
      </w:r>
      <w:r>
        <w:t xml:space="preserve"> </w:t>
      </w:r>
      <w:r>
        <w:rPr>
          <w:b/>
          <w:bCs/>
        </w:rPr>
        <w:t xml:space="preserve">par prudence comme un traitement à risque</w:t>
      </w:r>
      <w:r>
        <w:t xml:space="preserve"> </w:t>
      </w:r>
      <w:r>
        <w:t xml:space="preserve">relevant de l'</w:t>
      </w:r>
      <w:r>
        <w:rPr>
          <w:b/>
          <w:bCs/>
        </w:rPr>
        <w:t xml:space="preserve">article 35</w:t>
      </w:r>
      <w:r>
        <w:t xml:space="preserve"> </w:t>
      </w:r>
      <w:r>
        <w:t xml:space="preserve">(analyse d'impact). Cette approche conservatrice est cohérente avec la sensibilité des données vocales et avec l'exigence d'accountability. Les</w:t>
      </w:r>
      <w:r>
        <w:t xml:space="preserve"> </w:t>
      </w:r>
      <w:r>
        <w:rPr>
          <w:b/>
          <w:bCs/>
        </w:rPr>
        <w:t xml:space="preserve">bases légales ordinaires (article 6)</w:t>
      </w:r>
      <w:r>
        <w:t xml:space="preserve"> </w:t>
      </w:r>
      <w:r>
        <w:t xml:space="preserve">restent déterminées par le Client en qualité de responsable de traitement.</w:t>
      </w:r>
    </w:p>
    <w:p>
      <w:r>
        <w:pict>
          <v:rect style="width:0;height:1.5pt" o:hralign="center" o:hrstd="t" o:hr="t"/>
        </w:pict>
      </w:r>
    </w:p>
    <w:bookmarkEnd w:id="134"/>
    <w:bookmarkEnd w:id="135"/>
    <w:bookmarkStart w:id="136" w:name="X874bb38eabf3ca55151ad884c45ce5790670e42"/>
    <w:p>
      <w:pPr>
        <w:pStyle w:val="Heading2"/>
      </w:pPr>
      <w:r>
        <w:t xml:space="preserve">4. Encadrement mis en place</w:t>
      </w:r>
    </w:p>
    <w:p>
      <w:pPr>
        <w:pStyle w:val="Compact"/>
        <w:numPr>
          <w:ilvl w:val="0"/>
          <w:numId w:val="1035"/>
        </w:numPr>
      </w:pPr>
      <w:r>
        <w:rPr>
          <w:b/>
          <w:bCs/>
        </w:rPr>
        <w:t xml:space="preserve">Désactivée par défaut</w:t>
      </w:r>
      <w:r>
        <w:t xml:space="preserve"> </w:t>
      </w:r>
      <w:r>
        <w:t xml:space="preserve">: la corrélation vocale n'est jamais active sans décision explicite.</w:t>
      </w:r>
    </w:p>
    <w:p>
      <w:pPr>
        <w:pStyle w:val="Compact"/>
        <w:numPr>
          <w:ilvl w:val="0"/>
          <w:numId w:val="1035"/>
        </w:numPr>
      </w:pPr>
      <w:r>
        <w:rPr>
          <w:b/>
          <w:bCs/>
        </w:rPr>
        <w:t xml:space="preserve">Opt-in du responsable de traitement</w:t>
      </w:r>
      <w:r>
        <w:t xml:space="preserve"> </w:t>
      </w:r>
      <w:r>
        <w:t xml:space="preserve">: seule l'organisation cliente peut l'activer.</w:t>
      </w:r>
    </w:p>
    <w:p>
      <w:pPr>
        <w:pStyle w:val="Compact"/>
        <w:numPr>
          <w:ilvl w:val="0"/>
          <w:numId w:val="1035"/>
        </w:numPr>
      </w:pPr>
      <w:r>
        <w:rPr>
          <w:b/>
          <w:bCs/>
        </w:rPr>
        <w:t xml:space="preserve">Avenant DPA dédié</w:t>
      </w:r>
      <w:r>
        <w:t xml:space="preserve"> </w:t>
      </w:r>
      <w:r>
        <w:t xml:space="preserve">: son activation suppose la signature préalable d'un avenant spécifique.</w:t>
      </w:r>
    </w:p>
    <w:p>
      <w:pPr>
        <w:pStyle w:val="Compact"/>
        <w:numPr>
          <w:ilvl w:val="0"/>
          <w:numId w:val="1035"/>
        </w:numPr>
      </w:pPr>
      <w:r>
        <w:rPr>
          <w:b/>
          <w:bCs/>
        </w:rPr>
        <w:t xml:space="preserve">AIPD préalable</w:t>
      </w:r>
      <w:r>
        <w:t xml:space="preserve"> </w:t>
      </w:r>
      <w:r>
        <w:t xml:space="preserve">: une analyse d'impact (article 35) est requise avant activation.</w:t>
      </w:r>
    </w:p>
    <w:p>
      <w:pPr>
        <w:pStyle w:val="Compact"/>
        <w:numPr>
          <w:ilvl w:val="0"/>
          <w:numId w:val="1035"/>
        </w:numPr>
      </w:pPr>
      <w:r>
        <w:rPr>
          <w:b/>
          <w:bCs/>
        </w:rPr>
        <w:t xml:space="preserve">Validation humaine</w:t>
      </w:r>
      <w:r>
        <w:t xml:space="preserve"> </w:t>
      </w:r>
      <w:r>
        <w:t xml:space="preserve">: les suggestions ne sont jamais des décisions automatiques définitives ; un utilisateur autorisé du Client valide avant toute attribution.</w:t>
      </w:r>
    </w:p>
    <w:p>
      <w:pPr>
        <w:pStyle w:val="Compact"/>
        <w:numPr>
          <w:ilvl w:val="0"/>
          <w:numId w:val="1035"/>
        </w:numPr>
      </w:pPr>
      <w:r>
        <w:rPr>
          <w:b/>
          <w:bCs/>
        </w:rPr>
        <w:t xml:space="preserve">Engagement de non-évolution</w:t>
      </w:r>
      <w:r>
        <w:t xml:space="preserve"> </w:t>
      </w:r>
      <w:r>
        <w:t xml:space="preserve">: OHADJA s'engage à</w:t>
      </w:r>
      <w:r>
        <w:t xml:space="preserve"> </w:t>
      </w:r>
      <w:r>
        <w:rPr>
          <w:b/>
          <w:bCs/>
        </w:rPr>
        <w:t xml:space="preserve">ne jamais</w:t>
      </w:r>
      <w:r>
        <w:t xml:space="preserve"> </w:t>
      </w:r>
      <w:r>
        <w:t xml:space="preserve">introduire de traitement biométrique automatique</w:t>
      </w:r>
      <w:r>
        <w:t xml:space="preserve"> </w:t>
      </w:r>
      <w:r>
        <w:rPr>
          <w:b/>
          <w:bCs/>
        </w:rPr>
        <w:t xml:space="preserve">persistant</w:t>
      </w:r>
      <w:r>
        <w:t xml:space="preserve"> </w:t>
      </w:r>
      <w:r>
        <w:t xml:space="preserve">(reconnaissance vocale avec base de voiceprints) sans</w:t>
      </w:r>
      <w:r>
        <w:t xml:space="preserve"> </w:t>
      </w:r>
      <w:r>
        <w:rPr>
          <w:b/>
          <w:bCs/>
        </w:rPr>
        <w:t xml:space="preserve">mise à jour explicite du DPA</w:t>
      </w:r>
      <w:r>
        <w:t xml:space="preserve"> </w:t>
      </w:r>
      <w:r>
        <w:t xml:space="preserve">soumise à acceptation préalable du Client, avec un</w:t>
      </w:r>
      <w:r>
        <w:t xml:space="preserve"> </w:t>
      </w:r>
      <w:r>
        <w:rPr>
          <w:b/>
          <w:bCs/>
        </w:rPr>
        <w:t xml:space="preserve">préavis minimum de 60 jours</w:t>
      </w:r>
      <w:r>
        <w:t xml:space="preserve">.</w:t>
      </w:r>
    </w:p>
    <w:p>
      <w:r>
        <w:pict>
          <v:rect style="width:0;height:1.5pt" o:hralign="center" o:hrstd="t" o:hr="t"/>
        </w:pict>
      </w:r>
    </w:p>
    <w:bookmarkEnd w:id="136"/>
    <w:bookmarkStart w:id="137" w:name="X5cb896f79fde2817fdfc340537e1d6f68249cb8"/>
    <w:p>
      <w:pPr>
        <w:pStyle w:val="Heading2"/>
      </w:pPr>
      <w:r>
        <w:t xml:space="preserve">5. Mesures techniques et organisationnelles dédiées</w:t>
      </w:r>
    </w:p>
    <w:p>
      <w:pPr>
        <w:pStyle w:val="FirstParagraph"/>
      </w:pPr>
      <w:r>
        <w:t xml:space="preserve">Les MTO dédiées à la corrélation vocale (DPA Annexe 3 §9) sont les suivantes :</w:t>
      </w:r>
    </w:p>
    <w:p>
      <w:pPr>
        <w:pStyle w:val="Compact"/>
        <w:numPr>
          <w:ilvl w:val="0"/>
          <w:numId w:val="1036"/>
        </w:numPr>
      </w:pPr>
      <w:r>
        <w:t xml:space="preserve">activation au niveau tenant ou par configuration client lorsque disponible ;</w:t>
      </w:r>
    </w:p>
    <w:p>
      <w:pPr>
        <w:pStyle w:val="Compact"/>
        <w:numPr>
          <w:ilvl w:val="0"/>
          <w:numId w:val="1036"/>
        </w:numPr>
      </w:pPr>
      <w:r>
        <w:t xml:space="preserve">absence de création de profil vocal persistant par défaut ;</w:t>
      </w:r>
    </w:p>
    <w:p>
      <w:pPr>
        <w:pStyle w:val="Compact"/>
        <w:numPr>
          <w:ilvl w:val="0"/>
          <w:numId w:val="1036"/>
        </w:numPr>
      </w:pPr>
      <w:r>
        <w:t xml:space="preserve">calcul des embeddings temporairement en mémoire vive lorsque techniquement possible ;</w:t>
      </w:r>
    </w:p>
    <w:p>
      <w:pPr>
        <w:pStyle w:val="Compact"/>
        <w:numPr>
          <w:ilvl w:val="0"/>
          <w:numId w:val="1036"/>
        </w:numPr>
      </w:pPr>
      <w:r>
        <w:t xml:space="preserve">utilisation d'espaces temporaires de type</w:t>
      </w:r>
      <w:r>
        <w:t xml:space="preserve"> </w:t>
      </w:r>
      <w:r>
        <w:rPr>
          <w:rStyle w:val="VerbatimChar"/>
        </w:rPr>
        <w:t xml:space="preserve">tmpfs</w:t>
      </w:r>
      <w:r>
        <w:t xml:space="preserve"> </w:t>
      </w:r>
      <w:r>
        <w:t xml:space="preserve">lorsque l'environnement le permet ;</w:t>
      </w:r>
    </w:p>
    <w:p>
      <w:pPr>
        <w:pStyle w:val="Compact"/>
        <w:numPr>
          <w:ilvl w:val="0"/>
          <w:numId w:val="1036"/>
        </w:numPr>
      </w:pPr>
      <w:r>
        <w:t xml:space="preserve">désactivation du swap pour les workers concernés lorsque l'environnement le permet et que la stabilité le permet ;</w:t>
      </w:r>
    </w:p>
    <w:p>
      <w:pPr>
        <w:pStyle w:val="Compact"/>
        <w:numPr>
          <w:ilvl w:val="0"/>
          <w:numId w:val="1036"/>
        </w:numPr>
      </w:pPr>
      <w:r>
        <w:t xml:space="preserve">suppression des fichiers temporaires et embeddings à l'issue de la requête ;</w:t>
      </w:r>
    </w:p>
    <w:p>
      <w:pPr>
        <w:pStyle w:val="Compact"/>
        <w:numPr>
          <w:ilvl w:val="0"/>
          <w:numId w:val="1036"/>
        </w:numPr>
      </w:pPr>
      <w:r>
        <w:t xml:space="preserve">nettoyage dans les blocs de fin de traitement, y compris mécanismes</w:t>
      </w:r>
      <w:r>
        <w:t xml:space="preserve"> </w:t>
      </w:r>
      <w:r>
        <w:rPr>
          <w:rStyle w:val="VerbatimChar"/>
        </w:rPr>
        <w:t xml:space="preserve">finally</w:t>
      </w:r>
      <w:r>
        <w:t xml:space="preserve"> </w:t>
      </w:r>
      <w:r>
        <w:t xml:space="preserve">;</w:t>
      </w:r>
    </w:p>
    <w:p>
      <w:pPr>
        <w:pStyle w:val="Compact"/>
        <w:numPr>
          <w:ilvl w:val="0"/>
          <w:numId w:val="1036"/>
        </w:numPr>
      </w:pPr>
      <w:r>
        <w:t xml:space="preserve">absence d'utilisation des embeddings pour entraîner des modèles propres ;</w:t>
      </w:r>
    </w:p>
    <w:p>
      <w:pPr>
        <w:pStyle w:val="Compact"/>
        <w:numPr>
          <w:ilvl w:val="0"/>
          <w:numId w:val="1036"/>
        </w:numPr>
      </w:pPr>
      <w:r>
        <w:t xml:space="preserve">validation humaine obligatoire des suggestions avant attribution définitive ;</w:t>
      </w:r>
    </w:p>
    <w:p>
      <w:pPr>
        <w:pStyle w:val="Compact"/>
        <w:numPr>
          <w:ilvl w:val="0"/>
          <w:numId w:val="1036"/>
        </w:numPr>
      </w:pPr>
      <w:r>
        <w:t xml:space="preserve">journalisation limitée aux événements techniques nécessaires ;</w:t>
      </w:r>
    </w:p>
    <w:p>
      <w:pPr>
        <w:pStyle w:val="Compact"/>
        <w:numPr>
          <w:ilvl w:val="0"/>
          <w:numId w:val="1036"/>
        </w:numPr>
      </w:pPr>
      <w:r>
        <w:t xml:space="preserve">nettoyage/réduction des logs pour éviter l'inscription d'empreintes, vecteurs ou extraits vocaux non nécessaires ;</w:t>
      </w:r>
    </w:p>
    <w:p>
      <w:pPr>
        <w:pStyle w:val="Compact"/>
        <w:numPr>
          <w:ilvl w:val="0"/>
          <w:numId w:val="1036"/>
        </w:numPr>
      </w:pPr>
      <w:r>
        <w:t xml:space="preserve">séparation des traitements par tenant ;</w:t>
      </w:r>
    </w:p>
    <w:p>
      <w:pPr>
        <w:pStyle w:val="Compact"/>
        <w:numPr>
          <w:ilvl w:val="0"/>
          <w:numId w:val="1036"/>
        </w:numPr>
      </w:pPr>
      <w:r>
        <w:t xml:space="preserve">restriction des accès aux workers et aux sorties techniques ;</w:t>
      </w:r>
    </w:p>
    <w:p>
      <w:pPr>
        <w:pStyle w:val="Compact"/>
        <w:numPr>
          <w:ilvl w:val="0"/>
          <w:numId w:val="1036"/>
        </w:numPr>
      </w:pPr>
      <w:r>
        <w:t xml:space="preserve">possibilité de désactivation de la fonctionnalité sur demande du client ou par clause contractuelle ;</w:t>
      </w:r>
    </w:p>
    <w:p>
      <w:pPr>
        <w:pStyle w:val="Compact"/>
        <w:numPr>
          <w:ilvl w:val="0"/>
          <w:numId w:val="1036"/>
        </w:numPr>
      </w:pPr>
      <w:r>
        <w:t xml:space="preserve">sélection de ressources GPU situées en UE/EEE lorsque requis.</w:t>
      </w:r>
    </w:p>
    <w:p>
      <w:r>
        <w:pict>
          <v:rect style="width:0;height:1.5pt" o:hralign="center" o:hrstd="t" o:hr="t"/>
        </w:pict>
      </w:r>
    </w:p>
    <w:bookmarkEnd w:id="137"/>
    <w:bookmarkStart w:id="138" w:name="X78fc07a469ca6699f328a51971f58213a3ffac5"/>
    <w:p>
      <w:pPr>
        <w:pStyle w:val="Heading2"/>
      </w:pPr>
      <w:r>
        <w:t xml:space="preserve">6. Limites et recommandations au responsable de traitement</w:t>
      </w:r>
    </w:p>
    <w:p>
      <w:pPr>
        <w:pStyle w:val="FirstParagraph"/>
      </w:pPr>
      <w:r>
        <w:t xml:space="preserve">En qualité de responsable de traitement, le Client conserve la maîtrise et la responsabilité des éléments suivants, que la corrélation vocale soit activée ou non :</w:t>
      </w:r>
    </w:p>
    <w:p>
      <w:pPr>
        <w:pStyle w:val="Compact"/>
        <w:numPr>
          <w:ilvl w:val="0"/>
          <w:numId w:val="1037"/>
        </w:numPr>
      </w:pPr>
      <w:r>
        <w:rPr>
          <w:b/>
          <w:bCs/>
        </w:rPr>
        <w:t xml:space="preserve">Information des personnes concernées</w:t>
      </w:r>
      <w:r>
        <w:t xml:space="preserve"> </w:t>
      </w:r>
      <w:r>
        <w:t xml:space="preserve">: informer les intervenants de la mise en œuvre de la diarisation et, le cas échéant, de la corrélation vocale (articles 12 à 14).</w:t>
      </w:r>
    </w:p>
    <w:p>
      <w:pPr>
        <w:pStyle w:val="Compact"/>
        <w:numPr>
          <w:ilvl w:val="0"/>
          <w:numId w:val="1037"/>
        </w:numPr>
      </w:pPr>
      <w:r>
        <w:rPr>
          <w:b/>
          <w:bCs/>
        </w:rPr>
        <w:t xml:space="preserve">Base légale</w:t>
      </w:r>
      <w:r>
        <w:t xml:space="preserve"> </w:t>
      </w:r>
      <w:r>
        <w:t xml:space="preserve">: déterminer la base légale (article 6) adaptée au contexte (mission d'intérêt public, obligation légale, consentement… selon le cas).</w:t>
      </w:r>
    </w:p>
    <w:p>
      <w:pPr>
        <w:pStyle w:val="Compact"/>
        <w:numPr>
          <w:ilvl w:val="0"/>
          <w:numId w:val="1037"/>
        </w:numPr>
      </w:pPr>
      <w:r>
        <w:rPr>
          <w:b/>
          <w:bCs/>
        </w:rPr>
        <w:t xml:space="preserve">Proportionnalité et nécessité</w:t>
      </w:r>
      <w:r>
        <w:t xml:space="preserve"> </w:t>
      </w:r>
      <w:r>
        <w:t xml:space="preserve">: n'activer la corrélation vocale que si elle est nécessaire et proportionnée à la finalité poursuivie ; à défaut, s'en tenir à la diarisation positionnelle et à l'attribution manuelle.</w:t>
      </w:r>
    </w:p>
    <w:p>
      <w:pPr>
        <w:pStyle w:val="Compact"/>
        <w:numPr>
          <w:ilvl w:val="0"/>
          <w:numId w:val="1037"/>
        </w:numPr>
      </w:pPr>
      <w:r>
        <w:rPr>
          <w:b/>
          <w:bCs/>
        </w:rPr>
        <w:t xml:space="preserve">AIPD</w:t>
      </w:r>
      <w:r>
        <w:t xml:space="preserve"> </w:t>
      </w:r>
      <w:r>
        <w:t xml:space="preserve">: réaliser l'analyse d'impact préalable à toute activation de la corrélation vocale ; OHADJA fournit l'assistance et la documentation technique nécessaires (architecture, MTO, garanties de non-persistance).</w:t>
      </w:r>
    </w:p>
    <w:p>
      <w:pPr>
        <w:pStyle w:val="Compact"/>
        <w:numPr>
          <w:ilvl w:val="0"/>
          <w:numId w:val="1037"/>
        </w:numPr>
      </w:pPr>
      <w:r>
        <w:rPr>
          <w:b/>
          <w:bCs/>
        </w:rPr>
        <w:t xml:space="preserve">Validation humaine</w:t>
      </w:r>
      <w:r>
        <w:t xml:space="preserve"> </w:t>
      </w:r>
      <w:r>
        <w:t xml:space="preserve">: maintenir une revue humaine systématique des suggestions avant attribution.</w:t>
      </w:r>
    </w:p>
    <w:p>
      <w:pPr>
        <w:pStyle w:val="FirstParagraph"/>
      </w:pPr>
      <w:r>
        <w:rPr>
          <w:b/>
          <w:bCs/>
        </w:rPr>
        <w:t xml:space="preserve">Recommandation d'OHADJA</w:t>
      </w:r>
      <w:r>
        <w:t xml:space="preserve"> </w:t>
      </w:r>
      <w:r>
        <w:t xml:space="preserve">: pour la plupart des usages de collectivité (procès-verbaux d'assemblées, comptes rendus de réunions), la</w:t>
      </w:r>
      <w:r>
        <w:t xml:space="preserve"> </w:t>
      </w:r>
      <w:r>
        <w:rPr>
          <w:b/>
          <w:bCs/>
        </w:rPr>
        <w:t xml:space="preserve">diarisation positionnelle + attribution manuelle</w:t>
      </w:r>
      <w:r>
        <w:t xml:space="preserve"> </w:t>
      </w:r>
      <w:r>
        <w:t xml:space="preserve">suffisent et n'impliquent pas de traitement à risque. La corrélation vocale n'est à envisager que sur un besoin métier caractérisé, après AIPD et avenant.</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138"/>
    <w:bookmarkEnd w:id="139"/>
    <w:bookmarkStart w:id="147" w:name="Xbb174e7fcc237e3b8817e4a78ba18c05179a16d"/>
    <w:p>
      <w:pPr>
        <w:pStyle w:val="Heading1"/>
      </w:pPr>
      <w:r>
        <w:t xml:space="preserve">Procédures d'assistance RGPD aux clients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OHA-RGPD-08</w:t>
            </w:r>
          </w:p>
        </w:tc>
      </w:tr>
      <w:tr>
        <w:tc>
          <w:tcPr/>
          <w:p>
            <w:pPr>
              <w:pStyle w:val="Compact"/>
            </w:pPr>
            <w:r>
              <w:t xml:space="preserve">Objet</w:t>
            </w:r>
          </w:p>
        </w:tc>
        <w:tc>
          <w:tcPr/>
          <w:p>
            <w:pPr>
              <w:pStyle w:val="Compact"/>
            </w:pPr>
            <w:r>
              <w:t xml:space="preserve">Fiches procédures opérationnelles d'assistance RGPD (droits, violations, restitution, AIPD, audit)</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Destinataire</w:t>
            </w:r>
          </w:p>
        </w:tc>
        <w:tc>
          <w:tcPr/>
          <w:p>
            <w:pPr>
              <w:pStyle w:val="Compact"/>
            </w:pPr>
            <w:r>
              <w:t xml:space="preserve">Organisation cliente (document type)</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140" w:name="objet"/>
    <w:p>
      <w:pPr>
        <w:pStyle w:val="Heading2"/>
      </w:pPr>
      <w:r>
        <w:t xml:space="preserve">Objet</w:t>
      </w:r>
    </w:p>
    <w:p>
      <w:pPr>
        <w:pStyle w:val="FirstParagraph"/>
      </w:pPr>
      <w:r>
        <w:t xml:space="preserve">Le présent document décrit, sous forme de fiches, les procédures opérationnelles par lesquelles OHADJA assiste le Client dans le respect de ses obligations RGPD. Le Client demeure responsable de traitement ; OHADJA agit en appui, dans les limites du DPA.</w:t>
      </w:r>
    </w:p>
    <w:p>
      <w:pPr>
        <w:pStyle w:val="BodyText"/>
      </w:pPr>
      <w:r>
        <w:rPr>
          <w:b/>
          <w:bCs/>
        </w:rPr>
        <w:t xml:space="preserve">Contact unique :</w:t>
      </w:r>
      <w:r>
        <w:t xml:space="preserve"> </w:t>
      </w:r>
      <w:hyperlink r:id="rId9">
        <w:r>
          <w:rPr>
            <w:rStyle w:val="Hyperlink"/>
          </w:rPr>
          <w:t xml:space="preserve">privacy@transcribia.eu</w:t>
        </w:r>
      </w:hyperlink>
      <w:r>
        <w:t xml:space="preserve">.</w:t>
      </w:r>
    </w:p>
    <w:p>
      <w:r>
        <w:pict>
          <v:rect style="width:0;height:1.5pt" o:hralign="center" o:hrstd="t" o:hr="t"/>
        </w:pict>
      </w:r>
    </w:p>
    <w:bookmarkEnd w:id="140"/>
    <w:bookmarkStart w:id="141" w:name="Xd4924d66601c499ace1dd22e56ade19d3c4cae9"/>
    <w:p>
      <w:pPr>
        <w:pStyle w:val="Heading2"/>
      </w:pPr>
      <w:r>
        <w:t xml:space="preserve">PROC-01 — Demandes d'exercice des droits des personnes</w:t>
      </w:r>
    </w:p>
    <w:p>
      <w:pPr>
        <w:pStyle w:val="FirstParagraph"/>
      </w:pPr>
      <w:r>
        <w:rPr>
          <w:b/>
          <w:bCs/>
        </w:rPr>
        <w:t xml:space="preserve">Canal de réception.</w:t>
      </w:r>
      <w:r>
        <w:t xml:space="preserve"> </w:t>
      </w:r>
      <w:r>
        <w:t xml:space="preserve">Les demandes du Client sont adressées par écrit à</w:t>
      </w:r>
      <w:r>
        <w:t xml:space="preserve"> </w:t>
      </w:r>
      <w:hyperlink r:id="rId9">
        <w:r>
          <w:rPr>
            <w:rStyle w:val="Hyperlink"/>
          </w:rPr>
          <w:t xml:space="preserve">privacy@transcribia.eu</w:t>
        </w:r>
      </w:hyperlink>
      <w:r>
        <w:t xml:space="preserve">.</w:t>
      </w:r>
    </w:p>
    <w:p>
      <w:pPr>
        <w:pStyle w:val="BodyText"/>
      </w:pPr>
      <w:r>
        <w:rPr>
          <w:b/>
          <w:bCs/>
        </w:rPr>
        <w:t xml:space="preserve">Délai d'assistance.</w:t>
      </w:r>
      <w:r>
        <w:t xml:space="preserve"> </w:t>
      </w:r>
      <w:r>
        <w:t xml:space="preserve">OHADJA assiste le Client dans un délai de</w:t>
      </w:r>
      <w:r>
        <w:t xml:space="preserve"> </w:t>
      </w:r>
      <w:r>
        <w:rPr>
          <w:b/>
          <w:bCs/>
        </w:rPr>
        <w:t xml:space="preserve">7 jours ouvrés</w:t>
      </w:r>
      <w:r>
        <w:t xml:space="preserve"> </w:t>
      </w:r>
      <w:r>
        <w:t xml:space="preserve">à compter d'une demande écrite complète (sauf urgence motivée ou complexité justifiant un délai raisonnable supplémentaire).</w:t>
      </w:r>
    </w:p>
    <w:p>
      <w:pPr>
        <w:pStyle w:val="BodyText"/>
      </w:pPr>
      <w:r>
        <w:rPr>
          <w:b/>
          <w:bCs/>
        </w:rPr>
        <w:t xml:space="preserve">Principe.</w:t>
      </w:r>
      <w:r>
        <w:t xml:space="preserve"> </w:t>
      </w:r>
      <w:r>
        <w:t xml:space="preserve">OHADJA</w:t>
      </w:r>
      <w:r>
        <w:t xml:space="preserve"> </w:t>
      </w:r>
      <w:r>
        <w:rPr>
          <w:b/>
          <w:bCs/>
        </w:rPr>
        <w:t xml:space="preserve">ne répond pas directement</w:t>
      </w:r>
      <w:r>
        <w:t xml:space="preserve"> </w:t>
      </w:r>
      <w:r>
        <w:t xml:space="preserve">à la personne concernée ; elle assiste le Client, qui apprécie les suites à donner. Si OHADJA reçoit directement une demande d'une personne, elle la transmet au Client.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Droit</w:t>
            </w:r>
          </w:p>
        </w:tc>
        <w:tc>
          <w:tcPr/>
          <w:p>
            <w:pPr>
              <w:pStyle w:val="Compact"/>
            </w:pPr>
            <w:r>
              <w:t xml:space="preserve">Opération possible</w:t>
            </w:r>
          </w:p>
        </w:tc>
        <w:tc>
          <w:tcPr/>
          <w:p>
            <w:pPr>
              <w:pStyle w:val="Compact"/>
            </w:pPr>
            <w:r>
              <w:t xml:space="preserve">Qui fait quoi</w:t>
            </w:r>
          </w:p>
        </w:tc>
      </w:tr>
      <w:tr>
        <w:tc>
          <w:tcPr/>
          <w:p>
            <w:pPr>
              <w:pStyle w:val="Compact"/>
            </w:pPr>
            <w:r>
              <w:t xml:space="preserve">Accès (art. 15)</w:t>
            </w:r>
          </w:p>
        </w:tc>
        <w:tc>
          <w:tcPr/>
          <w:p>
            <w:pPr>
              <w:pStyle w:val="Compact"/>
            </w:pPr>
            <w:r>
              <w:t xml:space="preserve">Export / recherche de sessions et contenus</w:t>
            </w:r>
          </w:p>
        </w:tc>
        <w:tc>
          <w:tcPr/>
          <w:p>
            <w:pPr>
              <w:pStyle w:val="Compact"/>
            </w:pPr>
            <w:r>
              <w:t xml:space="preserve">Client via l'application ; OHADJA en appui technique</w:t>
            </w:r>
          </w:p>
        </w:tc>
      </w:tr>
      <w:tr>
        <w:tc>
          <w:tcPr/>
          <w:p>
            <w:pPr>
              <w:pStyle w:val="Compact"/>
            </w:pPr>
            <w:r>
              <w:t xml:space="preserve">Rectification (art. 16)</w:t>
            </w:r>
          </w:p>
        </w:tc>
        <w:tc>
          <w:tcPr/>
          <w:p>
            <w:pPr>
              <w:pStyle w:val="Compact"/>
            </w:pPr>
            <w:r>
              <w:t xml:space="preserve">Édition libre des transcriptions et contenus</w:t>
            </w:r>
          </w:p>
        </w:tc>
        <w:tc>
          <w:tcPr/>
          <w:p>
            <w:pPr>
              <w:pStyle w:val="Compact"/>
            </w:pPr>
            <w:r>
              <w:t xml:space="preserve">Client (self-service)</w:t>
            </w:r>
          </w:p>
        </w:tc>
      </w:tr>
      <w:tr>
        <w:tc>
          <w:tcPr/>
          <w:p>
            <w:pPr>
              <w:pStyle w:val="Compact"/>
            </w:pPr>
            <w:r>
              <w:t xml:space="preserve">Effacement (art. 17)</w:t>
            </w:r>
          </w:p>
        </w:tc>
        <w:tc>
          <w:tcPr/>
          <w:p>
            <w:pPr>
              <w:pStyle w:val="Compact"/>
            </w:pPr>
            <w:r>
              <w:t xml:space="preserve">Suppression certifiée tracée + certificat</w:t>
            </w:r>
          </w:p>
        </w:tc>
        <w:tc>
          <w:tcPr/>
          <w:p>
            <w:pPr>
              <w:pStyle w:val="Compact"/>
            </w:pPr>
            <w:r>
              <w:t xml:space="preserve">Client déclenche (Réglages → Portabilité) ; OHADJA en appui / purge sauvegardes</w:t>
            </w:r>
          </w:p>
        </w:tc>
      </w:tr>
      <w:tr>
        <w:tc>
          <w:tcPr/>
          <w:p>
            <w:pPr>
              <w:pStyle w:val="Compact"/>
            </w:pPr>
            <w:r>
              <w:t xml:space="preserve">Portabilité (art. 20)</w:t>
            </w:r>
          </w:p>
        </w:tc>
        <w:tc>
          <w:tcPr/>
          <w:p>
            <w:pPr>
              <w:pStyle w:val="Compact"/>
            </w:pPr>
            <w:r>
              <w:t xml:space="preserve">Export</w:t>
            </w:r>
            <w:r>
              <w:t xml:space="preserve"> </w:t>
            </w:r>
            <w:r>
              <w:rPr>
                <w:rStyle w:val="VerbatimChar"/>
              </w:rPr>
              <w:t xml:space="preserve">.tar.gz</w:t>
            </w:r>
            <w:r>
              <w:t xml:space="preserve"> </w:t>
            </w:r>
            <w:r>
              <w:t xml:space="preserve">signé SHA-256 par tenant</w:t>
            </w:r>
          </w:p>
        </w:tc>
        <w:tc>
          <w:tcPr/>
          <w:p>
            <w:pPr>
              <w:pStyle w:val="Compact"/>
            </w:pPr>
            <w:r>
              <w:t xml:space="preserve">Client (self-service)</w:t>
            </w:r>
          </w:p>
        </w:tc>
      </w:tr>
      <w:tr>
        <w:tc>
          <w:tcPr/>
          <w:p>
            <w:pPr>
              <w:pStyle w:val="Compact"/>
            </w:pPr>
            <w:r>
              <w:t xml:space="preserve">Limitation (art. 18)</w:t>
            </w:r>
          </w:p>
        </w:tc>
        <w:tc>
          <w:tcPr/>
          <w:p>
            <w:pPr>
              <w:pStyle w:val="Compact"/>
            </w:pPr>
            <w:r>
              <w:t xml:space="preserve">Restriction d'accès/traitement de contenus visés</w:t>
            </w:r>
          </w:p>
        </w:tc>
        <w:tc>
          <w:tcPr/>
          <w:p>
            <w:pPr>
              <w:pStyle w:val="Compact"/>
            </w:pPr>
            <w:r>
              <w:t xml:space="preserve">Client ; OHADJA en appui technique</w:t>
            </w:r>
          </w:p>
        </w:tc>
      </w:tr>
      <w:tr>
        <w:tc>
          <w:tcPr/>
          <w:p>
            <w:pPr>
              <w:pStyle w:val="Compact"/>
            </w:pPr>
            <w:r>
              <w:t xml:space="preserve">Opposition (art. 21)</w:t>
            </w:r>
          </w:p>
        </w:tc>
        <w:tc>
          <w:tcPr/>
          <w:p>
            <w:pPr>
              <w:pStyle w:val="Compact"/>
            </w:pPr>
            <w:r>
              <w:t xml:space="preserve">Cessation du traitement visé selon décision du Client</w:t>
            </w:r>
          </w:p>
        </w:tc>
        <w:tc>
          <w:tcPr/>
          <w:p>
            <w:pPr>
              <w:pStyle w:val="Compact"/>
            </w:pPr>
            <w:r>
              <w:t xml:space="preserve">Client apprécie ; OHADJA exécute les opérations techniques</w:t>
            </w:r>
          </w:p>
        </w:tc>
      </w:tr>
    </w:tbl>
    <w:p>
      <w:r>
        <w:pict>
          <v:rect style="width:0;height:1.5pt" o:hralign="center" o:hrstd="t" o:hr="t"/>
        </w:pict>
      </w:r>
    </w:p>
    <w:bookmarkEnd w:id="141"/>
    <w:bookmarkStart w:id="142" w:name="Xf2dfb29b41ebd5e3b0b22ee6a749e96ee0a58c3"/>
    <w:p>
      <w:pPr>
        <w:pStyle w:val="Heading2"/>
      </w:pPr>
      <w:r>
        <w:t xml:space="preserve">PROC-02 — Notification des violations de données</w:t>
      </w:r>
    </w:p>
    <w:p>
      <w:pPr>
        <w:pStyle w:val="FirstParagraph"/>
      </w:pPr>
      <w:r>
        <w:rPr>
          <w:b/>
          <w:bCs/>
        </w:rPr>
        <w:t xml:space="preserve">Détection.</w:t>
      </w:r>
      <w:r>
        <w:t xml:space="preserve"> </w:t>
      </w:r>
      <w:r>
        <w:t xml:space="preserve">Supervision 24/7 (queue, disque, certificats, dépendances), audit trail, alertes (ClamAV, sécurité).</w:t>
      </w:r>
    </w:p>
    <w:p>
      <w:pPr>
        <w:pStyle w:val="BodyText"/>
      </w:pPr>
      <w:r>
        <w:rPr>
          <w:b/>
          <w:bCs/>
        </w:rPr>
        <w:t xml:space="preserve">Qualification.</w:t>
      </w:r>
      <w:r>
        <w:t xml:space="preserve"> </w:t>
      </w:r>
      <w:r>
        <w:t xml:space="preserve">OHADJA analyse l'événement, en limite les effets, restaure la sécurité et préserve les éléments d'investigation.</w:t>
      </w:r>
    </w:p>
    <w:p>
      <w:pPr>
        <w:pStyle w:val="BodyText"/>
      </w:pPr>
      <w:r>
        <w:rPr>
          <w:b/>
          <w:bCs/>
        </w:rPr>
        <w:t xml:space="preserve">Notification au Client.</w:t>
      </w:r>
      <w:r>
        <w:t xml:space="preserve"> </w:t>
      </w:r>
      <w:r>
        <w:t xml:space="preserve">En cas de violation concernant les données du Client, notification</w:t>
      </w:r>
      <w:r>
        <w:t xml:space="preserve"> </w:t>
      </w:r>
      <w:r>
        <w:rPr>
          <w:b/>
          <w:bCs/>
        </w:rPr>
        <w:t xml:space="preserve">dans les meilleurs délais et au plus tard sous 48 heures ouvrées</w:t>
      </w:r>
      <w:r>
        <w:t xml:space="preserve"> </w:t>
      </w:r>
      <w:r>
        <w:t xml:space="preserve">(DPA §8), avec le contenu de l'article 33.3 :</w:t>
      </w:r>
    </w:p>
    <w:p>
      <w:pPr>
        <w:pStyle w:val="Compact"/>
        <w:numPr>
          <w:ilvl w:val="0"/>
          <w:numId w:val="1038"/>
        </w:numPr>
      </w:pPr>
      <w:r>
        <w:t xml:space="preserve">nature de la violation ;</w:t>
      </w:r>
    </w:p>
    <w:p>
      <w:pPr>
        <w:pStyle w:val="Compact"/>
        <w:numPr>
          <w:ilvl w:val="0"/>
          <w:numId w:val="1038"/>
        </w:numPr>
      </w:pPr>
      <w:r>
        <w:t xml:space="preserve">catégories de données concernées ;</w:t>
      </w:r>
    </w:p>
    <w:p>
      <w:pPr>
        <w:pStyle w:val="Compact"/>
        <w:numPr>
          <w:ilvl w:val="0"/>
          <w:numId w:val="1038"/>
        </w:numPr>
      </w:pPr>
      <w:r>
        <w:t xml:space="preserve">catégories et nombre approximatif de personnes concernées (si disponibles) ;</w:t>
      </w:r>
    </w:p>
    <w:p>
      <w:pPr>
        <w:pStyle w:val="Compact"/>
        <w:numPr>
          <w:ilvl w:val="0"/>
          <w:numId w:val="1038"/>
        </w:numPr>
      </w:pPr>
      <w:r>
        <w:t xml:space="preserve">catégories et nombre approximatif d'enregistrements concernés (si disponibles) ;</w:t>
      </w:r>
    </w:p>
    <w:p>
      <w:pPr>
        <w:pStyle w:val="Compact"/>
        <w:numPr>
          <w:ilvl w:val="0"/>
          <w:numId w:val="1038"/>
        </w:numPr>
      </w:pPr>
      <w:r>
        <w:t xml:space="preserve">conséquences probables ;</w:t>
      </w:r>
    </w:p>
    <w:p>
      <w:pPr>
        <w:pStyle w:val="Compact"/>
        <w:numPr>
          <w:ilvl w:val="0"/>
          <w:numId w:val="1038"/>
        </w:numPr>
      </w:pPr>
      <w:r>
        <w:t xml:space="preserve">mesures prises ou proposées pour remédier et atténuer ;</w:t>
      </w:r>
    </w:p>
    <w:p>
      <w:pPr>
        <w:pStyle w:val="Compact"/>
        <w:numPr>
          <w:ilvl w:val="0"/>
          <w:numId w:val="1038"/>
        </w:numPr>
      </w:pPr>
      <w:r>
        <w:t xml:space="preserve">point de contact pour informations complémentaires.</w:t>
      </w:r>
    </w:p>
    <w:p>
      <w:pPr>
        <w:pStyle w:val="FirstParagraph"/>
      </w:pPr>
      <w:r>
        <w:rPr>
          <w:b/>
          <w:bCs/>
        </w:rPr>
        <w:t xml:space="preserve">Information échelonnée.</w:t>
      </w:r>
      <w:r>
        <w:t xml:space="preserve"> </w:t>
      </w:r>
      <w:r>
        <w:t xml:space="preserve">Lorsque toutes les informations ne sont pas disponibles simultanément, elles sont communiquées de manière échelonnée, sans retard indu (art. 33.4).</w:t>
      </w:r>
    </w:p>
    <w:p>
      <w:pPr>
        <w:pStyle w:val="BodyText"/>
      </w:pPr>
      <w:r>
        <w:rPr>
          <w:b/>
          <w:bCs/>
        </w:rPr>
        <w:t xml:space="preserve">Répartition.</w:t>
      </w:r>
      <w:r>
        <w:t xml:space="preserve"> </w:t>
      </w:r>
      <w:r>
        <w:t xml:space="preserve">Le Client reste seul responsable de la notification à la CNIL (</w:t>
      </w:r>
      <w:r>
        <w:rPr>
          <w:b/>
          <w:bCs/>
        </w:rPr>
        <w:t xml:space="preserve">≤ 72 h</w:t>
      </w:r>
      <w:r>
        <w:t xml:space="preserve">, art. 33.1) et, le cas échéant, de la communication aux personnes concernées (art. 34).</w:t>
      </w:r>
    </w:p>
    <w:p>
      <w:pPr>
        <w:pStyle w:val="BodyText"/>
      </w:pPr>
      <w:r>
        <w:rPr>
          <w:b/>
          <w:bCs/>
        </w:rPr>
        <w:t xml:space="preserve">Registre.</w:t>
      </w:r>
      <w:r>
        <w:t xml:space="preserve"> </w:t>
      </w:r>
      <w:r>
        <w:t xml:space="preserve">OHADJA tient une trace des violations concernant le Client.</w:t>
      </w:r>
    </w:p>
    <w:p>
      <w:pPr>
        <w:pStyle w:val="SourceCode"/>
      </w:pPr>
      <w:r>
        <w:rPr>
          <w:rStyle w:val="VerbatimChar"/>
        </w:rPr>
        <w:t xml:space="preserve">Détection -&gt; Qualification (endiguement, préservation)</w:t>
      </w:r>
      <w:r>
        <w:br/>
      </w:r>
      <w:r>
        <w:rPr>
          <w:rStyle w:val="VerbatimChar"/>
        </w:rPr>
        <w:t xml:space="preserve">   -&gt; Notification Client &lt;= 48 h ouvrées (contenu art. 33.3)</w:t>
      </w:r>
      <w:r>
        <w:br/>
      </w:r>
      <w:r>
        <w:rPr>
          <w:rStyle w:val="VerbatimChar"/>
        </w:rPr>
        <w:t xml:space="preserve">   -&gt; [Client] notification CNIL &lt;= 72 h si requise</w:t>
      </w:r>
      <w:r>
        <w:br/>
      </w:r>
      <w:r>
        <w:rPr>
          <w:rStyle w:val="VerbatimChar"/>
        </w:rPr>
        <w:t xml:space="preserve">   -&gt; Information échelonnée si nécessaire -&gt; Registre</w:t>
      </w:r>
    </w:p>
    <w:p>
      <w:r>
        <w:pict>
          <v:rect style="width:0;height:1.5pt" o:hralign="center" o:hrstd="t" o:hr="t"/>
        </w:pict>
      </w:r>
    </w:p>
    <w:bookmarkEnd w:id="142"/>
    <w:bookmarkStart w:id="143" w:name="X792fea81bfb021da122d0633eac6cb82ef8ab0f"/>
    <w:p>
      <w:pPr>
        <w:pStyle w:val="Heading2"/>
      </w:pPr>
      <w:r>
        <w:t xml:space="preserve">PROC-03 — Restitution / suppression en fin de contrat</w:t>
      </w:r>
    </w:p>
    <w:p>
      <w:pPr>
        <w:pStyle w:val="FirstParagraph"/>
      </w:pPr>
      <w:r>
        <w:t xml:space="preserve">Conformément au DPA §11, à la fin du contrat le Client</w:t>
      </w:r>
      <w:r>
        <w:t xml:space="preserve"> </w:t>
      </w:r>
      <w:r>
        <w:rPr>
          <w:b/>
          <w:bCs/>
        </w:rPr>
        <w:t xml:space="preserve">choisit par écrit</w:t>
      </w:r>
      <w:r>
        <w:t xml:space="preserve"> </w:t>
      </w:r>
      <w:r>
        <w:t xml:space="preserve">:</w:t>
      </w:r>
    </w:p>
    <w:p>
      <w:pPr>
        <w:pStyle w:val="Compact"/>
        <w:numPr>
          <w:ilvl w:val="0"/>
          <w:numId w:val="1039"/>
        </w:numPr>
      </w:pPr>
      <w:r>
        <w:rPr>
          <w:b/>
          <w:bCs/>
        </w:rPr>
        <w:t xml:space="preserve">Restitution</w:t>
      </w:r>
      <w:r>
        <w:t xml:space="preserve"> </w:t>
      </w:r>
      <w:r>
        <w:t xml:space="preserve">: export standard</w:t>
      </w:r>
      <w:r>
        <w:t xml:space="preserve"> </w:t>
      </w:r>
      <w:r>
        <w:rPr>
          <w:rStyle w:val="VerbatimChar"/>
        </w:rPr>
        <w:t xml:space="preserve">.tar.gz</w:t>
      </w:r>
      <w:r>
        <w:t xml:space="preserve"> </w:t>
      </w:r>
      <w:r>
        <w:t xml:space="preserve">signé SHA-256 par tenant.</w:t>
      </w:r>
    </w:p>
    <w:p>
      <w:pPr>
        <w:pStyle w:val="Compact"/>
        <w:numPr>
          <w:ilvl w:val="0"/>
          <w:numId w:val="1039"/>
        </w:numPr>
      </w:pPr>
      <w:r>
        <w:rPr>
          <w:b/>
          <w:bCs/>
        </w:rPr>
        <w:t xml:space="preserve">Suppression</w:t>
      </w:r>
      <w:r>
        <w:t xml:space="preserve"> </w:t>
      </w:r>
      <w:r>
        <w:t xml:space="preserve">: production supprimée</w:t>
      </w:r>
      <w:r>
        <w:t xml:space="preserve"> </w:t>
      </w:r>
      <w:r>
        <w:rPr>
          <w:b/>
          <w:bCs/>
        </w:rPr>
        <w:t xml:space="preserve">≤ 30 jours</w:t>
      </w:r>
      <w:r>
        <w:t xml:space="preserve"> </w:t>
      </w:r>
      <w:r>
        <w:t xml:space="preserve">; sauvegardes purgées</w:t>
      </w:r>
      <w:r>
        <w:t xml:space="preserve"> </w:t>
      </w:r>
      <w:r>
        <w:rPr>
          <w:b/>
          <w:bCs/>
        </w:rPr>
        <w:t xml:space="preserve">≤ 90 jours</w:t>
      </w:r>
      <w:r>
        <w:t xml:space="preserve">.</w:t>
      </w:r>
    </w:p>
    <w:p>
      <w:pPr>
        <w:pStyle w:val="Compact"/>
        <w:numPr>
          <w:ilvl w:val="0"/>
          <w:numId w:val="1039"/>
        </w:numPr>
      </w:pPr>
      <w:r>
        <w:rPr>
          <w:b/>
          <w:bCs/>
        </w:rPr>
        <w:t xml:space="preserve">Certificat</w:t>
      </w:r>
      <w:r>
        <w:t xml:space="preserve"> </w:t>
      </w:r>
      <w:r>
        <w:t xml:space="preserve">de suppression ou de restitution fourni</w:t>
      </w:r>
      <w:r>
        <w:t xml:space="preserve"> </w:t>
      </w:r>
      <w:r>
        <w:rPr>
          <w:b/>
          <w:bCs/>
        </w:rPr>
        <w:t xml:space="preserve">≤ 30 jours</w:t>
      </w:r>
      <w:r>
        <w:t xml:space="preserve"> </w:t>
      </w:r>
      <w:r>
        <w:t xml:space="preserve">après l'achèvement.</w:t>
      </w:r>
    </w:p>
    <w:p>
      <w:r>
        <w:pict>
          <v:rect style="width:0;height:1.5pt" o:hralign="center" o:hrstd="t" o:hr="t"/>
        </w:pict>
      </w:r>
    </w:p>
    <w:bookmarkEnd w:id="143"/>
    <w:bookmarkStart w:id="144" w:name="X6001a8d9102cccbb3e345d0a66583a05f743cff"/>
    <w:p>
      <w:pPr>
        <w:pStyle w:val="Heading2"/>
      </w:pPr>
      <w:r>
        <w:t xml:space="preserve">PROC-04 — Assistance à l'analyse d'impact (AIPD)</w:t>
      </w:r>
    </w:p>
    <w:p>
      <w:pPr>
        <w:pStyle w:val="FirstParagraph"/>
      </w:pPr>
      <w:r>
        <w:rPr>
          <w:b/>
          <w:bCs/>
        </w:rPr>
        <w:t xml:space="preserve">Informations fournies par OHADJA</w:t>
      </w:r>
      <w:r>
        <w:t xml:space="preserve"> </w:t>
      </w:r>
      <w:r>
        <w:t xml:space="preserve">: architecture du service, mesures techniques et organisationnelles (MTO), liste des sous-traitants ultérieurs, cartographie des flux, garanties propres à la corrélation vocale.</w:t>
      </w:r>
    </w:p>
    <w:p>
      <w:pPr>
        <w:pStyle w:val="BodyText"/>
      </w:pPr>
      <w:r>
        <w:rPr>
          <w:b/>
          <w:bCs/>
        </w:rPr>
        <w:t xml:space="preserve">Livrables</w:t>
      </w:r>
      <w:r>
        <w:t xml:space="preserve"> </w:t>
      </w:r>
      <w:r>
        <w:t xml:space="preserve">: une</w:t>
      </w:r>
      <w:r>
        <w:t xml:space="preserve"> </w:t>
      </w:r>
      <w:r>
        <w:rPr>
          <w:b/>
          <w:bCs/>
        </w:rPr>
        <w:t xml:space="preserve">DPIA/AIPD générique</w:t>
      </w:r>
      <w:r>
        <w:t xml:space="preserve"> </w:t>
      </w:r>
      <w:r>
        <w:t xml:space="preserve">est disponible sur demande, à titre d'appui ; l'AIPD reste à la charge du Client (responsable de traitement). Un</w:t>
      </w:r>
      <w:r>
        <w:t xml:space="preserve"> </w:t>
      </w:r>
      <w:r>
        <w:rPr>
          <w:b/>
          <w:bCs/>
        </w:rPr>
        <w:t xml:space="preserve">atelier</w:t>
      </w:r>
      <w:r>
        <w:t xml:space="preserve"> </w:t>
      </w:r>
      <w:r>
        <w:t xml:space="preserve">d'accompagnement peut être organisé.</w:t>
      </w:r>
    </w:p>
    <w:p>
      <w:pPr>
        <w:pStyle w:val="BodyText"/>
      </w:pPr>
      <w:r>
        <w:rPr>
          <w:b/>
          <w:bCs/>
        </w:rPr>
        <w:t xml:space="preserve">Cas de la corrélation vocale</w:t>
      </w:r>
      <w:r>
        <w:t xml:space="preserve"> </w:t>
      </w:r>
      <w:r>
        <w:t xml:space="preserve">: AIPD</w:t>
      </w:r>
      <w:r>
        <w:t xml:space="preserve"> </w:t>
      </w:r>
      <w:r>
        <w:rPr>
          <w:b/>
          <w:bCs/>
        </w:rPr>
        <w:t xml:space="preserve">préalable obligatoire</w:t>
      </w:r>
      <w:r>
        <w:t xml:space="preserve"> </w:t>
      </w:r>
      <w:r>
        <w:t xml:space="preserve">avant activation (voir OHA-RGPD-07).</w:t>
      </w:r>
    </w:p>
    <w:p>
      <w:r>
        <w:pict>
          <v:rect style="width:0;height:1.5pt" o:hralign="center" o:hrstd="t" o:hr="t"/>
        </w:pict>
      </w:r>
    </w:p>
    <w:bookmarkEnd w:id="144"/>
    <w:bookmarkStart w:id="145" w:name="proc-05--assistance-à-laudit"/>
    <w:p>
      <w:pPr>
        <w:pStyle w:val="Heading2"/>
      </w:pPr>
      <w:r>
        <w:t xml:space="preserve">PROC-05 — Assistance à l'audit</w:t>
      </w:r>
    </w:p>
    <w:p>
      <w:pPr>
        <w:pStyle w:val="Compact"/>
        <w:numPr>
          <w:ilvl w:val="0"/>
          <w:numId w:val="1040"/>
        </w:numPr>
      </w:pPr>
      <w:r>
        <w:t xml:space="preserve">Droit d'audit du Client :</w:t>
      </w:r>
      <w:r>
        <w:t xml:space="preserve"> </w:t>
      </w:r>
      <w:r>
        <w:rPr>
          <w:b/>
          <w:bCs/>
        </w:rPr>
        <w:t xml:space="preserve">1 audit par année civile</w:t>
      </w:r>
      <w:r>
        <w:t xml:space="preserve">, préavis écrit</w:t>
      </w:r>
      <w:r>
        <w:t xml:space="preserve"> </w:t>
      </w:r>
      <w:r>
        <w:rPr>
          <w:b/>
          <w:bCs/>
        </w:rPr>
        <w:t xml:space="preserve">≥ 30 jours</w:t>
      </w:r>
      <w:r>
        <w:t xml:space="preserve"> </w:t>
      </w:r>
      <w:r>
        <w:t xml:space="preserve">(sauf incident grave ou demande d'une autorité).</w:t>
      </w:r>
    </w:p>
    <w:p>
      <w:pPr>
        <w:pStyle w:val="Compact"/>
        <w:numPr>
          <w:ilvl w:val="0"/>
          <w:numId w:val="1040"/>
        </w:numPr>
      </w:pPr>
      <w:r>
        <w:t xml:space="preserve">Réalisé pendant les jours/heures ouvrés, sans compromettre la sécurité, la disponibilité, ni la confidentialité des données d'autres clients.</w:t>
      </w:r>
    </w:p>
    <w:p>
      <w:pPr>
        <w:pStyle w:val="Compact"/>
        <w:numPr>
          <w:ilvl w:val="0"/>
          <w:numId w:val="1040"/>
        </w:numPr>
      </w:pPr>
      <w:r>
        <w:t xml:space="preserve">Auditeur tiers possible (soumis à confidentialité, non concurrent).</w:t>
      </w:r>
    </w:p>
    <w:p>
      <w:pPr>
        <w:pStyle w:val="Compact"/>
        <w:numPr>
          <w:ilvl w:val="0"/>
          <w:numId w:val="1040"/>
        </w:numPr>
      </w:pPr>
      <w:r>
        <w:t xml:space="preserve">Périmètre : conformité à l'article 28 et au DPA ; exclusion des données d'autres clients, secrets d'affaires, code source non concédé.</w:t>
      </w:r>
    </w:p>
    <w:p>
      <w:pPr>
        <w:pStyle w:val="Compact"/>
        <w:numPr>
          <w:ilvl w:val="0"/>
          <w:numId w:val="1040"/>
        </w:numPr>
      </w:pPr>
      <w:r>
        <w:t xml:space="preserve">En cas de non-conformité substantielle : plan de remédiation proportionné.</w:t>
      </w:r>
    </w:p>
    <w:p>
      <w:r>
        <w:pict>
          <v:rect style="width:0;height:1.5pt" o:hralign="center" o:hrstd="t" o:hr="t"/>
        </w:pict>
      </w:r>
    </w:p>
    <w:bookmarkEnd w:id="145"/>
    <w:bookmarkStart w:id="146" w:name="proc-06--escalade-et-contacts"/>
    <w:p>
      <w:pPr>
        <w:pStyle w:val="Heading2"/>
      </w:pPr>
      <w:r>
        <w:t xml:space="preserve">PROC-06 — Escalade et contacts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Sujet</w:t>
            </w:r>
          </w:p>
        </w:tc>
        <w:tc>
          <w:tcPr/>
          <w:p>
            <w:pPr>
              <w:pStyle w:val="Compact"/>
            </w:pPr>
            <w:r>
              <w:t xml:space="preserve">Contact</w:t>
            </w:r>
          </w:p>
        </w:tc>
        <w:tc>
          <w:tcPr/>
          <w:p>
            <w:pPr>
              <w:pStyle w:val="Compact"/>
            </w:pPr>
            <w:r>
              <w:t xml:space="preserve">Délai cible</w:t>
            </w:r>
          </w:p>
        </w:tc>
      </w:tr>
      <w:tr>
        <w:tc>
          <w:tcPr/>
          <w:p>
            <w:pPr>
              <w:pStyle w:val="Compact"/>
            </w:pPr>
            <w:r>
              <w:t xml:space="preserve">Exercice des droits</w:t>
            </w:r>
          </w:p>
        </w:tc>
        <w:tc>
          <w:tcPr/>
          <w:p>
            <w:pPr>
              <w:pStyle w:val="Compact"/>
            </w:pPr>
            <w:hyperlink r:id="rId9">
              <w:r>
                <w:rPr>
                  <w:rStyle w:val="Hyperlink"/>
                </w:rPr>
                <w:t xml:space="preserve">privacy@transcribia.eu</w:t>
              </w:r>
            </w:hyperlink>
          </w:p>
        </w:tc>
        <w:tc>
          <w:tcPr/>
          <w:p>
            <w:pPr>
              <w:pStyle w:val="Compact"/>
            </w:pPr>
            <w:r>
              <w:t xml:space="preserve">Assistance ≤ 7 j ouvrés</w:t>
            </w:r>
          </w:p>
        </w:tc>
      </w:tr>
      <w:tr>
        <w:tc>
          <w:tcPr/>
          <w:p>
            <w:pPr>
              <w:pStyle w:val="Compact"/>
            </w:pPr>
            <w:r>
              <w:t xml:space="preserve">Violation de données</w:t>
            </w:r>
          </w:p>
        </w:tc>
        <w:tc>
          <w:tcPr/>
          <w:p>
            <w:pPr>
              <w:pStyle w:val="Compact"/>
            </w:pPr>
            <w:hyperlink r:id="rId9">
              <w:r>
                <w:rPr>
                  <w:rStyle w:val="Hyperlink"/>
                </w:rPr>
                <w:t xml:space="preserve">privacy@transcribia.eu</w:t>
              </w:r>
            </w:hyperlink>
          </w:p>
        </w:tc>
        <w:tc>
          <w:tcPr/>
          <w:p>
            <w:pPr>
              <w:pStyle w:val="Compact"/>
            </w:pPr>
            <w:r>
              <w:t xml:space="preserve">Notification ≤ 48 h ouvrées</w:t>
            </w:r>
          </w:p>
        </w:tc>
      </w:tr>
      <w:tr>
        <w:tc>
          <w:tcPr/>
          <w:p>
            <w:pPr>
              <w:pStyle w:val="Compact"/>
            </w:pPr>
            <w:r>
              <w:t xml:space="preserve">Restitution / suppression</w:t>
            </w:r>
          </w:p>
        </w:tc>
        <w:tc>
          <w:tcPr/>
          <w:p>
            <w:pPr>
              <w:pStyle w:val="Compact"/>
            </w:pPr>
            <w:hyperlink r:id="rId9">
              <w:r>
                <w:rPr>
                  <w:rStyle w:val="Hyperlink"/>
                </w:rPr>
                <w:t xml:space="preserve">privacy@transcribia.eu</w:t>
              </w:r>
            </w:hyperlink>
          </w:p>
        </w:tc>
        <w:tc>
          <w:tcPr/>
          <w:p>
            <w:pPr>
              <w:pStyle w:val="Compact"/>
            </w:pPr>
            <w:r>
              <w:t xml:space="preserve">Suppression ≤ 30 j / certificat ≤ 30 j</w:t>
            </w:r>
          </w:p>
        </w:tc>
      </w:tr>
      <w:tr>
        <w:tc>
          <w:tcPr/>
          <w:p>
            <w:pPr>
              <w:pStyle w:val="Compact"/>
            </w:pPr>
            <w:r>
              <w:t xml:space="preserve">AIPD / documentation</w:t>
            </w:r>
          </w:p>
        </w:tc>
        <w:tc>
          <w:tcPr/>
          <w:p>
            <w:pPr>
              <w:pStyle w:val="Compact"/>
            </w:pPr>
            <w:hyperlink r:id="rId9">
              <w:r>
                <w:rPr>
                  <w:rStyle w:val="Hyperlink"/>
                </w:rPr>
                <w:t xml:space="preserve">privacy@transcribia.eu</w:t>
              </w:r>
            </w:hyperlink>
          </w:p>
        </w:tc>
        <w:tc>
          <w:tcPr/>
          <w:p>
            <w:pPr>
              <w:pStyle w:val="Compact"/>
            </w:pPr>
            <w:r>
              <w:t xml:space="preserve">Sur demande</w:t>
            </w:r>
          </w:p>
        </w:tc>
      </w:tr>
      <w:tr>
        <w:tc>
          <w:tcPr/>
          <w:p>
            <w:pPr>
              <w:pStyle w:val="Compact"/>
            </w:pPr>
            <w:r>
              <w:t xml:space="preserve">Audit</w:t>
            </w:r>
          </w:p>
        </w:tc>
        <w:tc>
          <w:tcPr/>
          <w:p>
            <w:pPr>
              <w:pStyle w:val="Compact"/>
            </w:pPr>
            <w:hyperlink r:id="rId9">
              <w:r>
                <w:rPr>
                  <w:rStyle w:val="Hyperlink"/>
                </w:rPr>
                <w:t xml:space="preserve">privacy@transcribia.eu</w:t>
              </w:r>
            </w:hyperlink>
          </w:p>
        </w:tc>
        <w:tc>
          <w:tcPr/>
          <w:p>
            <w:pPr>
              <w:pStyle w:val="Compact"/>
            </w:pPr>
            <w:r>
              <w:t xml:space="preserve">Préavis ≥ 30 j</w:t>
            </w:r>
          </w:p>
        </w:tc>
      </w:tr>
    </w:tbl>
    <w:p>
      <w:pPr>
        <w:pStyle w:val="BlockText"/>
      </w:pPr>
      <w:r>
        <w:t xml:space="preserve">Les coordonnées du référent côté Client (interlocuteur, DPO) sont à compléter par le Client — voir OHA-RGPD-09.</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146"/>
    <w:bookmarkEnd w:id="147"/>
    <w:bookmarkStart w:id="152" w:name="Xd09627a6906f0cfd013e0f21fecf00b43a25682"/>
    <w:p>
      <w:pPr>
        <w:pStyle w:val="Heading1"/>
      </w:pPr>
      <w:r>
        <w:t xml:space="preserve">Contact et référent protection des données — TranscribIA</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Référence</w:t>
            </w:r>
          </w:p>
        </w:tc>
        <w:tc>
          <w:tcPr/>
          <w:p>
            <w:pPr>
              <w:pStyle w:val="Compact"/>
            </w:pPr>
            <w:r>
              <w:t xml:space="preserve">OHA-RGPD-09</w:t>
            </w:r>
          </w:p>
        </w:tc>
      </w:tr>
      <w:tr>
        <w:tc>
          <w:tcPr/>
          <w:p>
            <w:pPr>
              <w:pStyle w:val="Compact"/>
            </w:pPr>
            <w:r>
              <w:t xml:space="preserve">Objet</w:t>
            </w:r>
          </w:p>
        </w:tc>
        <w:tc>
          <w:tcPr/>
          <w:p>
            <w:pPr>
              <w:pStyle w:val="Compact"/>
            </w:pPr>
            <w:r>
              <w:t xml:space="preserve">Référent protection des données d'OHADJA et contacts</w:t>
            </w:r>
          </w:p>
        </w:tc>
      </w:tr>
      <w:tr>
        <w:tc>
          <w:tcPr/>
          <w:p>
            <w:pPr>
              <w:pStyle w:val="Compact"/>
            </w:pPr>
            <w:r>
              <w:t xml:space="preserve">Version</w:t>
            </w:r>
          </w:p>
        </w:tc>
        <w:tc>
          <w:tcPr/>
          <w:p>
            <w:pPr>
              <w:pStyle w:val="Compact"/>
            </w:pPr>
            <w:r>
              <w:t xml:space="preserve">1.0</w:t>
            </w:r>
          </w:p>
        </w:tc>
      </w:tr>
      <w:tr>
        <w:tc>
          <w:tcPr/>
          <w:p>
            <w:pPr>
              <w:pStyle w:val="Compact"/>
            </w:pPr>
            <w:r>
              <w:t xml:space="preserve">Date</w:t>
            </w:r>
          </w:p>
        </w:tc>
        <w:tc>
          <w:tcPr/>
          <w:p>
            <w:pPr>
              <w:pStyle w:val="Compact"/>
            </w:pPr>
            <w:r>
              <w:t xml:space="preserve">2026-07-24</w:t>
            </w:r>
          </w:p>
        </w:tc>
      </w:tr>
      <w:tr>
        <w:tc>
          <w:tcPr/>
          <w:p>
            <w:pPr>
              <w:pStyle w:val="Compact"/>
            </w:pPr>
            <w:r>
              <w:t xml:space="preserve">Rédacteur</w:t>
            </w:r>
          </w:p>
        </w:tc>
        <w:tc>
          <w:tcPr/>
          <w:p>
            <w:pPr>
              <w:pStyle w:val="Compact"/>
            </w:pPr>
            <w:r>
              <w:t xml:space="preserve">OHADJA</w:t>
            </w:r>
          </w:p>
        </w:tc>
      </w:tr>
      <w:tr>
        <w:tc>
          <w:tcPr/>
          <w:p>
            <w:pPr>
              <w:pStyle w:val="Compact"/>
            </w:pPr>
            <w:r>
              <w:t xml:space="preserve">Destinataire</w:t>
            </w:r>
          </w:p>
        </w:tc>
        <w:tc>
          <w:tcPr/>
          <w:p>
            <w:pPr>
              <w:pStyle w:val="Compact"/>
            </w:pPr>
            <w:r>
              <w:t xml:space="preserve">Organisation cliente (document type)</w:t>
            </w:r>
          </w:p>
        </w:tc>
      </w:tr>
      <w:tr>
        <w:tc>
          <w:tcPr/>
          <w:p>
            <w:pPr>
              <w:pStyle w:val="Compact"/>
            </w:pPr>
            <w:r>
              <w:t xml:space="preserve">Classification</w:t>
            </w:r>
          </w:p>
        </w:tc>
        <w:tc>
          <w:tcPr/>
          <w:p>
            <w:pPr>
              <w:pStyle w:val="Compact"/>
            </w:pPr>
            <w:r>
              <w:t xml:space="preserve">Public — document type, précisé lors de chaque contractualisation</w:t>
            </w:r>
          </w:p>
        </w:tc>
      </w:tr>
    </w:tbl>
    <w:bookmarkStart w:id="148" w:name="Xd7a3ca93746dcf1d0f8d53c63f17d63b80b17bf"/>
    <w:p>
      <w:pPr>
        <w:pStyle w:val="Heading2"/>
      </w:pPr>
      <w:r>
        <w:t xml:space="preserve">1. Absence de DPO au sens de l'article 37</w:t>
      </w:r>
    </w:p>
    <w:p>
      <w:pPr>
        <w:pStyle w:val="FirstParagraph"/>
      </w:pPr>
      <w:r>
        <w:t xml:space="preserve">OHADJA, éditeur du logiciel TranscribIA et sous-traitant au sens de l'article 28,</w:t>
      </w:r>
      <w:r>
        <w:t xml:space="preserve"> </w:t>
      </w:r>
      <w:r>
        <w:rPr>
          <w:b/>
          <w:bCs/>
        </w:rPr>
        <w:t xml:space="preserve">n'a pas désigné de délégué à la protection des données (DPO)</w:t>
      </w:r>
      <w:r>
        <w:t xml:space="preserve"> </w:t>
      </w:r>
      <w:r>
        <w:t xml:space="preserve">au sens de l'article 37 du RGPD. En l'état de son activité, l'obligation de désignation ne s'applique pas : OHADJA n'est pas une autorité ou un organisme public, son activité de base ne consiste pas en un</w:t>
      </w:r>
      <w:r>
        <w:t xml:space="preserve"> </w:t>
      </w:r>
      <w:r>
        <w:rPr>
          <w:b/>
          <w:bCs/>
        </w:rPr>
        <w:t xml:space="preserve">suivi régulier et systématique à grande échelle</w:t>
      </w:r>
      <w:r>
        <w:t xml:space="preserve"> </w:t>
      </w:r>
      <w:r>
        <w:t xml:space="preserve">de personnes concernées pour son propre compte, et elle ne traite pas, pour son propre compte, de</w:t>
      </w:r>
      <w:r>
        <w:t xml:space="preserve"> </w:t>
      </w:r>
      <w:r>
        <w:rPr>
          <w:b/>
          <w:bCs/>
        </w:rPr>
        <w:t xml:space="preserve">données sensibles à grande échelle</w:t>
      </w:r>
      <w:r>
        <w:t xml:space="preserve"> </w:t>
      </w:r>
      <w:r>
        <w:t xml:space="preserve">— elle agit comme</w:t>
      </w:r>
      <w:r>
        <w:t xml:space="preserve"> </w:t>
      </w:r>
      <w:r>
        <w:rPr>
          <w:b/>
          <w:bCs/>
        </w:rPr>
        <w:t xml:space="preserve">sous-traitant</w:t>
      </w:r>
      <w:r>
        <w:t xml:space="preserve"> </w:t>
      </w:r>
      <w:r>
        <w:t xml:space="preserve">pour le compte de ses clients responsables de traitement.</w:t>
      </w:r>
    </w:p>
    <w:bookmarkEnd w:id="148"/>
    <w:bookmarkStart w:id="149" w:name="Xd48118d6a794f15c0faa6b011a9f0f3df2cd5dc"/>
    <w:p>
      <w:pPr>
        <w:pStyle w:val="Heading2"/>
      </w:pPr>
      <w:r>
        <w:t xml:space="preserve">2. Référent protection des données</w:t>
      </w:r>
    </w:p>
    <w:p>
      <w:pPr>
        <w:pStyle w:val="FirstParagraph"/>
      </w:pPr>
      <w:r>
        <w:t xml:space="preserve">À défaut d'obligation de désigner un DPO, OHADJA a désigné un</w:t>
      </w:r>
      <w:r>
        <w:t xml:space="preserve"> </w:t>
      </w:r>
      <w:r>
        <w:rPr>
          <w:b/>
          <w:bCs/>
        </w:rPr>
        <w:t xml:space="preserve">référent protection des données</w:t>
      </w:r>
      <w:r>
        <w:t xml:space="preserve">, point de contact unique pour toutes les questions de conformité :</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Nom</w:t>
            </w:r>
          </w:p>
        </w:tc>
        <w:tc>
          <w:tcPr/>
          <w:p>
            <w:pPr>
              <w:pStyle w:val="Compact"/>
            </w:pPr>
            <w:r>
              <w:t xml:space="preserve">Olivier Dupont</w:t>
            </w:r>
          </w:p>
        </w:tc>
      </w:tr>
      <w:tr>
        <w:tc>
          <w:tcPr/>
          <w:p>
            <w:pPr>
              <w:pStyle w:val="Compact"/>
            </w:pPr>
            <w:r>
              <w:t xml:space="preserve">Fonction</w:t>
            </w:r>
          </w:p>
        </w:tc>
        <w:tc>
          <w:tcPr/>
          <w:p>
            <w:pPr>
              <w:pStyle w:val="Compact"/>
            </w:pPr>
            <w:r>
              <w:t xml:space="preserve">CTO, co-fondateur d'OHADJA</w:t>
            </w:r>
          </w:p>
        </w:tc>
      </w:tr>
      <w:tr>
        <w:tc>
          <w:tcPr/>
          <w:p>
            <w:pPr>
              <w:pStyle w:val="Compact"/>
            </w:pPr>
            <w:r>
              <w:t xml:space="preserve">Positionnement</w:t>
            </w:r>
          </w:p>
        </w:tc>
        <w:tc>
          <w:tcPr/>
          <w:p>
            <w:pPr>
              <w:pStyle w:val="Compact"/>
            </w:pPr>
            <w:r>
              <w:t xml:space="preserve">Direction technique — décisionnaire</w:t>
            </w:r>
          </w:p>
        </w:tc>
      </w:tr>
      <w:tr>
        <w:tc>
          <w:tcPr/>
          <w:p>
            <w:pPr>
              <w:pStyle w:val="Compact"/>
            </w:pPr>
            <w:r>
              <w:t xml:space="preserve">Adresse</w:t>
            </w:r>
          </w:p>
        </w:tc>
        <w:tc>
          <w:tcPr/>
          <w:p>
            <w:pPr>
              <w:pStyle w:val="Compact"/>
            </w:pPr>
            <w:hyperlink r:id="rId9">
              <w:r>
                <w:rPr>
                  <w:rStyle w:val="Hyperlink"/>
                </w:rPr>
                <w:t xml:space="preserve">privacy@transcribia.eu</w:t>
              </w:r>
            </w:hyperlink>
          </w:p>
        </w:tc>
      </w:tr>
    </w:tbl>
    <w:p>
      <w:pPr>
        <w:pStyle w:val="BodyText"/>
      </w:pPr>
      <w:r>
        <w:rPr>
          <w:b/>
          <w:bCs/>
        </w:rPr>
        <w:t xml:space="preserve">Missions du référent :</w:t>
      </w:r>
    </w:p>
    <w:p>
      <w:pPr>
        <w:pStyle w:val="Compact"/>
        <w:numPr>
          <w:ilvl w:val="0"/>
          <w:numId w:val="1041"/>
        </w:numPr>
      </w:pPr>
      <w:r>
        <w:t xml:space="preserve">point de contact unique pour le Client sur les sujets RGPD ;</w:t>
      </w:r>
    </w:p>
    <w:p>
      <w:pPr>
        <w:pStyle w:val="Compact"/>
        <w:numPr>
          <w:ilvl w:val="0"/>
          <w:numId w:val="1041"/>
        </w:numPr>
      </w:pPr>
      <w:r>
        <w:t xml:space="preserve">traitement des demandes d'assistance (droits des personnes, AIPD, audit) ;</w:t>
      </w:r>
    </w:p>
    <w:p>
      <w:pPr>
        <w:pStyle w:val="Compact"/>
        <w:numPr>
          <w:ilvl w:val="0"/>
          <w:numId w:val="1041"/>
        </w:numPr>
      </w:pPr>
      <w:r>
        <w:t xml:space="preserve">gestion des notifications de violation de données ;</w:t>
      </w:r>
    </w:p>
    <w:p>
      <w:pPr>
        <w:pStyle w:val="Compact"/>
        <w:numPr>
          <w:ilvl w:val="0"/>
          <w:numId w:val="1041"/>
        </w:numPr>
      </w:pPr>
      <w:r>
        <w:t xml:space="preserve">suivi des sous-traitants ultérieurs et des évolutions de la liste ;</w:t>
      </w:r>
    </w:p>
    <w:p>
      <w:pPr>
        <w:pStyle w:val="Compact"/>
        <w:numPr>
          <w:ilvl w:val="0"/>
          <w:numId w:val="1041"/>
        </w:numPr>
      </w:pPr>
      <w:r>
        <w:t xml:space="preserve">pilotage des engagements de sécurité et de protection des données.</w:t>
      </w:r>
    </w:p>
    <w:p>
      <w:pPr>
        <w:pStyle w:val="BlockText"/>
      </w:pPr>
      <w:r>
        <w:t xml:space="preserve">Rappel :</w:t>
      </w:r>
      <w:r>
        <w:t xml:space="preserve"> </w:t>
      </w:r>
      <w:r>
        <w:rPr>
          <w:b/>
          <w:bCs/>
        </w:rPr>
        <w:t xml:space="preserve">AMBASSADIA SARL</w:t>
      </w:r>
      <w:r>
        <w:t xml:space="preserve"> </w:t>
      </w:r>
      <w:r>
        <w:t xml:space="preserve">intervient uniquement comme</w:t>
      </w:r>
      <w:r>
        <w:t xml:space="preserve"> </w:t>
      </w:r>
      <w:r>
        <w:rPr>
          <w:b/>
          <w:bCs/>
        </w:rPr>
        <w:t xml:space="preserve">revendeur/distributeur commercial</w:t>
      </w:r>
      <w:r>
        <w:t xml:space="preserve"> </w:t>
      </w:r>
      <w:r>
        <w:t xml:space="preserve">(Monaco et France) et n'a aucun rôle de traitement des données de production (voir OHA-RGPD-01). Le contact protection des données est celui d'OHADJA ci-dessus.</w:t>
      </w:r>
    </w:p>
    <w:bookmarkEnd w:id="149"/>
    <w:bookmarkStart w:id="150" w:name="Xd27d2de919086e13e632c8f876706769bd7cd44"/>
    <w:p>
      <w:pPr>
        <w:pStyle w:val="Heading2"/>
      </w:pPr>
      <w:r>
        <w:t xml:space="preserve">3. Engagement d'évolution</w:t>
      </w:r>
    </w:p>
    <w:p>
      <w:pPr>
        <w:pStyle w:val="FirstParagraph"/>
      </w:pPr>
      <w:r>
        <w:t xml:space="preserve">OHADJA s'engage à</w:t>
      </w:r>
      <w:r>
        <w:t xml:space="preserve"> </w:t>
      </w:r>
      <w:r>
        <w:rPr>
          <w:b/>
          <w:bCs/>
        </w:rPr>
        <w:t xml:space="preserve">désigner un DPO externe</w:t>
      </w:r>
      <w:r>
        <w:t xml:space="preserve"> </w:t>
      </w:r>
      <w:r>
        <w:t xml:space="preserve">si l'évolution de son activité venait à en créer l'obligation ou l'opportunité (croissance du volume, nature des traitements).</w:t>
      </w:r>
      <w:r>
        <w:t xml:space="preserve"> </w:t>
      </w:r>
      <w:r>
        <w:rPr>
          <w:b/>
          <w:bCs/>
        </w:rPr>
        <w:t xml:space="preserve">Décision [À CONFIRMER].</w:t>
      </w:r>
      <w:r>
        <w:t xml:space="preserve"> </w:t>
      </w:r>
      <w:r>
        <w:t xml:space="preserve">Le Client en serait informé.</w:t>
      </w:r>
    </w:p>
    <w:bookmarkEnd w:id="150"/>
    <w:bookmarkStart w:id="151" w:name="X287af0f67808bd24f67c60b7531ef259dcc71bf"/>
    <w:p>
      <w:pPr>
        <w:pStyle w:val="Heading2"/>
      </w:pPr>
      <w:r>
        <w:t xml:space="preserve">4. Contacts côté le Client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Élément</w:t>
            </w:r>
          </w:p>
        </w:tc>
        <w:tc>
          <w:tcPr/>
          <w:p>
            <w:pPr>
              <w:pStyle w:val="Compact"/>
            </w:pPr>
            <w:r>
              <w:t xml:space="preserve">Valeur</w:t>
            </w:r>
          </w:p>
        </w:tc>
      </w:tr>
      <w:tr>
        <w:tc>
          <w:tcPr/>
          <w:p>
            <w:pPr>
              <w:pStyle w:val="Compact"/>
            </w:pPr>
            <w:r>
              <w:t xml:space="preserve">Responsable de traitement</w:t>
            </w:r>
          </w:p>
        </w:tc>
        <w:tc>
          <w:tcPr/>
          <w:p>
            <w:pPr>
              <w:pStyle w:val="Compact"/>
            </w:pPr>
            <w:r>
              <w:t xml:space="preserve">le Client</w:t>
            </w:r>
          </w:p>
        </w:tc>
      </w:tr>
      <w:tr>
        <w:tc>
          <w:tcPr/>
          <w:p>
            <w:pPr>
              <w:pStyle w:val="Compact"/>
            </w:pPr>
            <w:r>
              <w:t xml:space="preserve">Représentant</w:t>
            </w:r>
          </w:p>
        </w:tc>
        <w:tc>
          <w:tcPr/>
          <w:p>
            <w:pPr>
              <w:pStyle w:val="Compact"/>
            </w:pPr>
            <w:r>
              <w:t xml:space="preserve">[À COMPLÉTER par le client]</w:t>
            </w:r>
          </w:p>
        </w:tc>
      </w:tr>
      <w:tr>
        <w:tc>
          <w:tcPr/>
          <w:p>
            <w:pPr>
              <w:pStyle w:val="Compact"/>
            </w:pPr>
            <w:r>
              <w:t xml:space="preserve">Délégué à la protection des données (DPO)</w:t>
            </w:r>
          </w:p>
        </w:tc>
        <w:tc>
          <w:tcPr/>
          <w:p>
            <w:pPr>
              <w:pStyle w:val="Compact"/>
            </w:pPr>
            <w:r>
              <w:t xml:space="preserve">[À COMPLÉTER par le client : nom, email]</w:t>
            </w:r>
          </w:p>
        </w:tc>
      </w:tr>
      <w:tr>
        <w:tc>
          <w:tcPr/>
          <w:p>
            <w:pPr>
              <w:pStyle w:val="Compact"/>
            </w:pPr>
            <w:r>
              <w:t xml:space="preserve">Service métier référent</w:t>
            </w:r>
          </w:p>
        </w:tc>
        <w:tc>
          <w:tcPr/>
          <w:p>
            <w:pPr>
              <w:pStyle w:val="Compact"/>
            </w:pPr>
            <w:r>
              <w:t xml:space="preserve">[À COMPLÉTER par le client]</w:t>
            </w:r>
          </w:p>
        </w:tc>
      </w:tr>
    </w:tbl>
    <w:p>
      <w:r>
        <w:pict>
          <v:rect style="width:0;height:1.5pt" o:hralign="center" o:hrstd="t" o:hr="t"/>
        </w:pict>
      </w:r>
    </w:p>
    <w:p>
      <w:pPr>
        <w:pStyle w:val="FirstParagraph"/>
      </w:pPr>
      <w:r>
        <w:rPr>
          <w:i/>
          <w:iCs/>
        </w:rPr>
        <w:t xml:space="preserve">Document de travail établi par OHADJA — à faire valider par votre conseil juridique / DPO avant signature.</w:t>
      </w:r>
    </w:p>
    <w:p>
      <w:r>
        <w:br w:type="page"/>
      </w:r>
    </w:p>
    <w:bookmarkEnd w:id="151"/>
    <w:bookmarkEnd w:id="152"/>
    <w:bookmarkStart w:id="161" w:name="Xa0817e5cfd9d4fab3462efccc36c0418bca3f2a"/>
    <w:p>
      <w:pPr>
        <w:pStyle w:val="Heading1"/>
      </w:pPr>
      <w:r>
        <w:t xml:space="preserve">TranscribIA — État des certifications et démarche de conformité</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rPr>
                <w:b/>
                <w:bCs/>
              </w:rPr>
              <w:t xml:space="preserve">Référence</w:t>
            </w:r>
          </w:p>
        </w:tc>
        <w:tc>
          <w:tcPr/>
          <w:p>
            <w:pPr>
              <w:pStyle w:val="Compact"/>
            </w:pPr>
            <w:r>
              <w:t xml:space="preserve">CERT-TRANSCRIBIA-2026-01</w:t>
            </w:r>
          </w:p>
        </w:tc>
      </w:tr>
      <w:tr>
        <w:tc>
          <w:tcPr/>
          <w:p>
            <w:pPr>
              <w:pStyle w:val="Compact"/>
            </w:pPr>
            <w:r>
              <w:rPr>
                <w:b/>
                <w:bCs/>
              </w:rPr>
              <w:t xml:space="preserve">Version</w:t>
            </w:r>
          </w:p>
        </w:tc>
        <w:tc>
          <w:tcPr/>
          <w:p>
            <w:pPr>
              <w:pStyle w:val="Compact"/>
            </w:pPr>
            <w:r>
              <w:t xml:space="preserve">1.0</w:t>
            </w:r>
          </w:p>
        </w:tc>
      </w:tr>
      <w:tr>
        <w:tc>
          <w:tcPr/>
          <w:p>
            <w:pPr>
              <w:pStyle w:val="Compact"/>
            </w:pPr>
            <w:r>
              <w:rPr>
                <w:b/>
                <w:bCs/>
              </w:rPr>
              <w:t xml:space="preserve">Date</w:t>
            </w:r>
          </w:p>
        </w:tc>
        <w:tc>
          <w:tcPr/>
          <w:p>
            <w:pPr>
              <w:pStyle w:val="Compact"/>
            </w:pPr>
            <w:r>
              <w:t xml:space="preserve">2026-07-24</w:t>
            </w:r>
          </w:p>
        </w:tc>
      </w:tr>
      <w:tr>
        <w:tc>
          <w:tcPr/>
          <w:p>
            <w:pPr>
              <w:pStyle w:val="Compact"/>
            </w:pPr>
            <w:r>
              <w:rPr>
                <w:b/>
                <w:bCs/>
              </w:rPr>
              <w:t xml:space="preserve">Rédacteur</w:t>
            </w:r>
          </w:p>
        </w:tc>
        <w:tc>
          <w:tcPr/>
          <w:p>
            <w:pPr>
              <w:pStyle w:val="Compact"/>
            </w:pPr>
            <w:r>
              <w:t xml:space="preserve">OHADJA</w:t>
            </w:r>
          </w:p>
        </w:tc>
      </w:tr>
      <w:tr>
        <w:tc>
          <w:tcPr/>
          <w:p>
            <w:pPr>
              <w:pStyle w:val="Compact"/>
            </w:pPr>
            <w:r>
              <w:rPr>
                <w:b/>
                <w:bCs/>
              </w:rPr>
              <w:t xml:space="preserve">Classification</w:t>
            </w:r>
          </w:p>
        </w:tc>
        <w:tc>
          <w:tcPr/>
          <w:p>
            <w:pPr>
              <w:pStyle w:val="Compact"/>
            </w:pPr>
            <w:r>
              <w:t xml:space="preserve">Public</w:t>
            </w:r>
          </w:p>
        </w:tc>
      </w:tr>
    </w:tbl>
    <w:p>
      <w:r>
        <w:pict>
          <v:rect style="width:0;height:1.5pt" o:hralign="center" o:hrstd="t" o:hr="t"/>
        </w:pict>
      </w:r>
    </w:p>
    <w:bookmarkStart w:id="153" w:name="avertissement-liminaire"/>
    <w:p>
      <w:pPr>
        <w:pStyle w:val="Heading2"/>
      </w:pPr>
      <w:r>
        <w:t xml:space="preserve">Avertissement liminaire</w:t>
      </w:r>
    </w:p>
    <w:p>
      <w:pPr>
        <w:pStyle w:val="FirstParagraph"/>
      </w:pPr>
      <w:r>
        <w:t xml:space="preserve">Le présent document décrit</w:t>
      </w:r>
      <w:r>
        <w:t xml:space="preserve"> </w:t>
      </w:r>
      <w:r>
        <w:rPr>
          <w:b/>
          <w:bCs/>
        </w:rPr>
        <w:t xml:space="preserve">honnêtement</w:t>
      </w:r>
      <w:r>
        <w:t xml:space="preserve"> </w:t>
      </w:r>
      <w:r>
        <w:t xml:space="preserve">l'état des travaux de certification et de conformité d'OHADJA, éditeur de TranscribIA, à la date du 2026-07-24.</w:t>
      </w:r>
    </w:p>
    <w:p>
      <w:pPr>
        <w:pStyle w:val="BodyText"/>
      </w:pPr>
      <w:r>
        <w:rPr>
          <w:b/>
          <w:bCs/>
        </w:rPr>
        <w:t xml:space="preserve">Aucune certification n'est obtenue à ce jour.</w:t>
      </w:r>
      <w:r>
        <w:t xml:space="preserve"> </w:t>
      </w:r>
      <w:r>
        <w:t xml:space="preserve">Les démarches en cours sont présentées comme telles, sans anticiper leur issue. Aucune formulation du présent document ne doit être interprétée comme l'affirmation d'une certification acquise.</w:t>
      </w:r>
    </w:p>
    <w:p>
      <w:r>
        <w:pict>
          <v:rect style="width:0;height:1.5pt" o:hralign="center" o:hrstd="t" o:hr="t"/>
        </w:pict>
      </w:r>
    </w:p>
    <w:bookmarkEnd w:id="153"/>
    <w:bookmarkStart w:id="154" w:name="Xa679f6b55037bda2ffd42c65cf46be439bdcc24"/>
    <w:p>
      <w:pPr>
        <w:pStyle w:val="Heading2"/>
      </w:pPr>
      <w:r>
        <w:t xml:space="preserve">1. Tableau d'état des certifications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Référentiel</w:t>
            </w:r>
          </w:p>
        </w:tc>
        <w:tc>
          <w:tcPr/>
          <w:p>
            <w:pPr>
              <w:pStyle w:val="Compact"/>
            </w:pPr>
            <w:r>
              <w:t xml:space="preserve">Nature</w:t>
            </w:r>
          </w:p>
        </w:tc>
        <w:tc>
          <w:tcPr/>
          <w:p>
            <w:pPr>
              <w:pStyle w:val="Compact"/>
            </w:pPr>
            <w:r>
              <w:t xml:space="preserve">Statut au 2026-07-24</w:t>
            </w:r>
          </w:p>
        </w:tc>
        <w:tc>
          <w:tcPr/>
          <w:p>
            <w:pPr>
              <w:pStyle w:val="Compact"/>
            </w:pPr>
            <w:r>
              <w:t xml:space="preserve">Horizon visé</w:t>
            </w:r>
          </w:p>
        </w:tc>
      </w:tr>
      <w:tr>
        <w:tc>
          <w:tcPr/>
          <w:p>
            <w:pPr>
              <w:pStyle w:val="Compact"/>
            </w:pPr>
            <w:r>
              <w:t xml:space="preserve">ISO/IEC 27001 (management de la sécurité de l'information)</w:t>
            </w:r>
          </w:p>
        </w:tc>
        <w:tc>
          <w:tcPr/>
          <w:p>
            <w:pPr>
              <w:pStyle w:val="Compact"/>
            </w:pPr>
            <w:r>
              <w:t xml:space="preserve">Certification de système de management</w:t>
            </w:r>
          </w:p>
        </w:tc>
        <w:tc>
          <w:tcPr/>
          <w:p>
            <w:pPr>
              <w:pStyle w:val="Compact"/>
            </w:pPr>
            <w:r>
              <w:rPr>
                <w:b/>
                <w:bCs/>
              </w:rPr>
              <w:t xml:space="preserve">Démarche engagée</w:t>
            </w:r>
            <w:r>
              <w:t xml:space="preserve"> </w:t>
            </w:r>
            <w:r>
              <w:t xml:space="preserve">— socle documentaire ISMS en place (16 politiques formalisées) ;</w:t>
            </w:r>
            <w:r>
              <w:t xml:space="preserve"> </w:t>
            </w:r>
            <w:r>
              <w:rPr>
                <w:b/>
                <w:bCs/>
              </w:rPr>
              <w:t xml:space="preserve">non certifié</w:t>
            </w:r>
          </w:p>
        </w:tc>
        <w:tc>
          <w:tcPr/>
          <w:p>
            <w:pPr>
              <w:pStyle w:val="Compact"/>
            </w:pPr>
            <w:r>
              <w:t xml:space="preserve">Audit de certification</w:t>
            </w:r>
            <w:r>
              <w:t xml:space="preserve"> </w:t>
            </w:r>
            <w:r>
              <w:rPr>
                <w:b/>
                <w:bCs/>
              </w:rPr>
              <w:t xml:space="preserve">visé début 2027</w:t>
            </w:r>
          </w:p>
        </w:tc>
      </w:tr>
      <w:tr>
        <w:tc>
          <w:tcPr/>
          <w:p>
            <w:pPr>
              <w:pStyle w:val="Compact"/>
            </w:pPr>
            <w:r>
              <w:t xml:space="preserve">SOC 2 Type I</w:t>
            </w:r>
          </w:p>
        </w:tc>
        <w:tc>
          <w:tcPr/>
          <w:p>
            <w:pPr>
              <w:pStyle w:val="Compact"/>
            </w:pPr>
            <w:r>
              <w:t xml:space="preserve">Rapport d'attestation</w:t>
            </w:r>
          </w:p>
        </w:tc>
        <w:tc>
          <w:tcPr/>
          <w:p>
            <w:pPr>
              <w:pStyle w:val="Compact"/>
            </w:pPr>
            <w:r>
              <w:rPr>
                <w:b/>
                <w:bCs/>
              </w:rPr>
              <w:t xml:space="preserve">Audit planifié en 2026</w:t>
            </w:r>
            <w:r>
              <w:t xml:space="preserve"> </w:t>
            </w:r>
            <w:r>
              <w:t xml:space="preserve">;</w:t>
            </w:r>
            <w:r>
              <w:t xml:space="preserve"> </w:t>
            </w:r>
            <w:r>
              <w:rPr>
                <w:b/>
                <w:bCs/>
              </w:rPr>
              <w:t xml:space="preserve">non réalisé à ce jour</w:t>
            </w:r>
          </w:p>
        </w:tc>
        <w:tc>
          <w:tcPr/>
          <w:p>
            <w:pPr>
              <w:pStyle w:val="Compact"/>
            </w:pPr>
            <w:r>
              <w:t xml:space="preserve">2026</w:t>
            </w:r>
          </w:p>
        </w:tc>
      </w:tr>
      <w:tr>
        <w:tc>
          <w:tcPr/>
          <w:p>
            <w:pPr>
              <w:pStyle w:val="Compact"/>
            </w:pPr>
            <w:r>
              <w:t xml:space="preserve">ISO/IEC 27701 (management de la protection de la vie privée)</w:t>
            </w:r>
          </w:p>
        </w:tc>
        <w:tc>
          <w:tcPr/>
          <w:p>
            <w:pPr>
              <w:pStyle w:val="Compact"/>
            </w:pPr>
            <w:r>
              <w:t xml:space="preserve">Certification (extension de la 27001)</w:t>
            </w:r>
          </w:p>
        </w:tc>
        <w:tc>
          <w:tcPr/>
          <w:p>
            <w:pPr>
              <w:pStyle w:val="Compact"/>
            </w:pPr>
            <w:r>
              <w:rPr>
                <w:b/>
                <w:bCs/>
              </w:rPr>
              <w:t xml:space="preserve">À l'étude</w:t>
            </w:r>
            <w:r>
              <w:t xml:space="preserve"> </w:t>
            </w:r>
            <w:r>
              <w:t xml:space="preserve">— extension naturelle envisagée après l'obtention de la 27001</w:t>
            </w:r>
          </w:p>
        </w:tc>
        <w:tc>
          <w:tcPr/>
          <w:p>
            <w:pPr>
              <w:pStyle w:val="Compact"/>
            </w:pPr>
            <w:r>
              <w:t xml:space="preserve">Postérieur à la 27001</w:t>
            </w:r>
          </w:p>
        </w:tc>
      </w:tr>
      <w:tr>
        <w:tc>
          <w:tcPr/>
          <w:p>
            <w:pPr>
              <w:pStyle w:val="Compact"/>
            </w:pPr>
            <w:r>
              <w:t xml:space="preserve">HDS (Hébergement de données de santé)</w:t>
            </w:r>
          </w:p>
        </w:tc>
        <w:tc>
          <w:tcPr/>
          <w:p>
            <w:pPr>
              <w:pStyle w:val="Compact"/>
            </w:pPr>
            <w:r>
              <w:t xml:space="preserve">Certification</w:t>
            </w:r>
          </w:p>
        </w:tc>
        <w:tc>
          <w:tcPr/>
          <w:p>
            <w:pPr>
              <w:pStyle w:val="Compact"/>
            </w:pPr>
            <w:r>
              <w:rPr>
                <w:b/>
                <w:bCs/>
              </w:rPr>
              <w:t xml:space="preserve">À l'étude</w:t>
            </w:r>
            <w:r>
              <w:t xml:space="preserve"> </w:t>
            </w:r>
            <w:r>
              <w:t xml:space="preserve">— pertinent uniquement en cas de traitement de données de santé</w:t>
            </w:r>
          </w:p>
        </w:tc>
        <w:tc>
          <w:tcPr/>
          <w:p>
            <w:pPr>
              <w:pStyle w:val="Compact"/>
            </w:pPr>
            <w:r>
              <w:t xml:space="preserve">Selon besoin client</w:t>
            </w:r>
          </w:p>
        </w:tc>
      </w:tr>
      <w:tr>
        <w:tc>
          <w:tcPr/>
          <w:p>
            <w:pPr>
              <w:pStyle w:val="Compact"/>
            </w:pPr>
            <w:r>
              <w:t xml:space="preserve">SecNumCloud (ANSSI)</w:t>
            </w:r>
          </w:p>
        </w:tc>
        <w:tc>
          <w:tcPr/>
          <w:p>
            <w:pPr>
              <w:pStyle w:val="Compact"/>
            </w:pPr>
            <w:r>
              <w:t xml:space="preserve">Qualification</w:t>
            </w:r>
          </w:p>
        </w:tc>
        <w:tc>
          <w:tcPr/>
          <w:p>
            <w:pPr>
              <w:pStyle w:val="Compact"/>
            </w:pPr>
            <w:r>
              <w:rPr>
                <w:b/>
                <w:bCs/>
              </w:rPr>
              <w:t xml:space="preserve">Veille</w:t>
            </w:r>
            <w:r>
              <w:t xml:space="preserve"> </w:t>
            </w:r>
            <w:r>
              <w:t xml:space="preserve">— non visé à court terme</w:t>
            </w:r>
          </w:p>
        </w:tc>
        <w:tc>
          <w:tcPr/>
          <w:p>
            <w:pPr>
              <w:pStyle w:val="Compact"/>
            </w:pPr>
            <w:r>
              <w:t xml:space="preserve">Non planifié</w:t>
            </w:r>
          </w:p>
        </w:tc>
      </w:tr>
      <w:tr>
        <w:tc>
          <w:tcPr/>
          <w:p>
            <w:pPr>
              <w:pStyle w:val="Compact"/>
            </w:pPr>
            <w:r>
              <w:t xml:space="preserve">RGPD (Règlement (UE) 2016/679)</w:t>
            </w:r>
          </w:p>
        </w:tc>
        <w:tc>
          <w:tcPr/>
          <w:p>
            <w:pPr>
              <w:pStyle w:val="Compact"/>
            </w:pPr>
            <w:r>
              <w:t xml:space="preserve">Conformité réglementaire (non certifiante)</w:t>
            </w:r>
          </w:p>
        </w:tc>
        <w:tc>
          <w:tcPr/>
          <w:p>
            <w:pPr>
              <w:pStyle w:val="Compact"/>
            </w:pPr>
            <w:r>
              <w:rPr>
                <w:b/>
                <w:bCs/>
              </w:rPr>
              <w:t xml:space="preserve">Applicable et documenté</w:t>
            </w:r>
            <w:r>
              <w:t xml:space="preserve"> </w:t>
            </w:r>
            <w:r>
              <w:t xml:space="preserve">— voir dossier RGPD dédié</w:t>
            </w:r>
          </w:p>
        </w:tc>
        <w:tc>
          <w:tcPr/>
          <w:p>
            <w:pPr>
              <w:pStyle w:val="Compact"/>
            </w:pPr>
            <w:r>
              <w:t xml:space="preserve">Permanent</w:t>
            </w:r>
          </w:p>
        </w:tc>
      </w:tr>
      <w:tr>
        <w:tc>
          <w:tcPr/>
          <w:p>
            <w:pPr>
              <w:pStyle w:val="Compact"/>
            </w:pPr>
            <w:r>
              <w:t xml:space="preserve">Directive NIS2 (UE) 2022/2555</w:t>
            </w:r>
          </w:p>
        </w:tc>
        <w:tc>
          <w:tcPr/>
          <w:p>
            <w:pPr>
              <w:pStyle w:val="Compact"/>
            </w:pPr>
            <w:r>
              <w:t xml:space="preserve">Cadre réglementaire (non certifiant pour un produit)</w:t>
            </w:r>
          </w:p>
        </w:tc>
        <w:tc>
          <w:tcPr/>
          <w:p>
            <w:pPr>
              <w:pStyle w:val="Compact"/>
            </w:pPr>
            <w:r>
              <w:t xml:space="preserve">Mesures techniques</w:t>
            </w:r>
            <w:r>
              <w:t xml:space="preserve"> </w:t>
            </w:r>
            <w:r>
              <w:rPr>
                <w:b/>
                <w:bCs/>
              </w:rPr>
              <w:t xml:space="preserve">contributives</w:t>
            </w:r>
            <w:r>
              <w:t xml:space="preserve"> </w:t>
            </w:r>
            <w:r>
              <w:t xml:space="preserve">documentées</w:t>
            </w:r>
          </w:p>
        </w:tc>
        <w:tc>
          <w:tcPr/>
          <w:p>
            <w:pPr>
              <w:pStyle w:val="Compact"/>
            </w:pPr>
            <w:r>
              <w:t xml:space="preserve">Selon obligations du client</w:t>
            </w:r>
          </w:p>
        </w:tc>
      </w:tr>
      <w:tr>
        <w:tc>
          <w:tcPr/>
          <w:p>
            <w:pPr>
              <w:pStyle w:val="Compact"/>
            </w:pPr>
            <w:r>
              <w:t xml:space="preserve">Accessibilité (EAA / RGAA)</w:t>
            </w:r>
          </w:p>
        </w:tc>
        <w:tc>
          <w:tcPr/>
          <w:p>
            <w:pPr>
              <w:pStyle w:val="Compact"/>
            </w:pPr>
            <w:r>
              <w:t xml:space="preserve">Conformité réglementaire</w:t>
            </w:r>
          </w:p>
        </w:tc>
        <w:tc>
          <w:tcPr/>
          <w:p>
            <w:pPr>
              <w:pStyle w:val="Compact"/>
            </w:pPr>
            <w:r>
              <w:rPr>
                <w:b/>
                <w:bCs/>
              </w:rPr>
              <w:t xml:space="preserve">[À COMPLÉTER : statut d'accessibilité]</w:t>
            </w:r>
          </w:p>
        </w:tc>
        <w:tc>
          <w:tcPr/>
          <w:p>
            <w:pPr>
              <w:pStyle w:val="Compact"/>
            </w:pPr>
            <w:r>
              <w:t xml:space="preserve">[À COMPLÉTER]</w:t>
            </w:r>
          </w:p>
        </w:tc>
      </w:tr>
    </w:tbl>
    <w:p>
      <w:r>
        <w:pict>
          <v:rect style="width:0;height:1.5pt" o:hralign="center" o:hrstd="t" o:hr="t"/>
        </w:pict>
      </w:r>
    </w:p>
    <w:bookmarkEnd w:id="154"/>
    <w:bookmarkStart w:id="155" w:name="X30f21e3fe687fa7ed7647d19bfa3f440a66be0d"/>
    <w:p>
      <w:pPr>
        <w:pStyle w:val="Heading2"/>
      </w:pPr>
      <w:r>
        <w:t xml:space="preserve">2. ISO/IEC 27001 — démarche engagée</w:t>
      </w:r>
    </w:p>
    <w:p>
      <w:pPr>
        <w:pStyle w:val="FirstParagraph"/>
      </w:pPr>
      <w:r>
        <w:t xml:space="preserve">OHADJA a engagé une démarche structurée en vue de la certification ISO/IEC 27001. À ce stade :</w:t>
      </w:r>
    </w:p>
    <w:p>
      <w:pPr>
        <w:pStyle w:val="Compact"/>
        <w:numPr>
          <w:ilvl w:val="0"/>
          <w:numId w:val="1042"/>
        </w:numPr>
      </w:pPr>
      <w:r>
        <w:t xml:space="preserve">un</w:t>
      </w:r>
      <w:r>
        <w:t xml:space="preserve"> </w:t>
      </w:r>
      <w:r>
        <w:rPr>
          <w:b/>
          <w:bCs/>
        </w:rPr>
        <w:t xml:space="preserve">socle documentaire de système de management de la sécurité de l'information (ISMS)</w:t>
      </w:r>
      <w:r>
        <w:t xml:space="preserve"> </w:t>
      </w:r>
      <w:r>
        <w:t xml:space="preserve">est en place, constitué des</w:t>
      </w:r>
      <w:r>
        <w:t xml:space="preserve"> </w:t>
      </w:r>
      <w:r>
        <w:rPr>
          <w:b/>
          <w:bCs/>
        </w:rPr>
        <w:t xml:space="preserve">seize (16) politiques formalisées de l'éditeur OHADJA</w:t>
      </w:r>
      <w:r>
        <w:t xml:space="preserve"> </w:t>
      </w:r>
      <w:r>
        <w:t xml:space="preserve">(référentiel OHADJA-POL, Version 2.0, révision de mai 2026 — voir section 6) ;</w:t>
      </w:r>
    </w:p>
    <w:p>
      <w:pPr>
        <w:pStyle w:val="Compact"/>
        <w:numPr>
          <w:ilvl w:val="0"/>
          <w:numId w:val="1042"/>
        </w:numPr>
      </w:pPr>
      <w:r>
        <w:t xml:space="preserve">l'</w:t>
      </w:r>
      <w:r>
        <w:rPr>
          <w:b/>
          <w:bCs/>
        </w:rPr>
        <w:t xml:space="preserve">audit de certification est visé pour le début de l'année 2027</w:t>
      </w:r>
      <w:r>
        <w:t xml:space="preserve">.</w:t>
      </w:r>
    </w:p>
    <w:p>
      <w:pPr>
        <w:pStyle w:val="FirstParagraph"/>
      </w:pPr>
      <w:r>
        <w:t xml:space="preserve">À ce jour, aucun certificat ISO/IEC 27001 n'a été délivré. La démarche est en cours de structuration et de mise en œuvre.</w:t>
      </w:r>
    </w:p>
    <w:bookmarkEnd w:id="155"/>
    <w:bookmarkStart w:id="156" w:name="Xb666bc933ca9b071007a4b8affeac18b39b0724"/>
    <w:p>
      <w:pPr>
        <w:pStyle w:val="Heading2"/>
      </w:pPr>
      <w:r>
        <w:t xml:space="preserve">3. SOC 2 Type I</w:t>
      </w:r>
    </w:p>
    <w:p>
      <w:pPr>
        <w:pStyle w:val="FirstParagraph"/>
      </w:pPr>
      <w:r>
        <w:t xml:space="preserve">Un</w:t>
      </w:r>
      <w:r>
        <w:t xml:space="preserve"> </w:t>
      </w:r>
      <w:r>
        <w:rPr>
          <w:b/>
          <w:bCs/>
        </w:rPr>
        <w:t xml:space="preserve">audit SOC 2 Type I est planifié pour l'année 2026</w:t>
      </w:r>
      <w:r>
        <w:t xml:space="preserve">. Cet engagement a déjà été communiqué dans le dossier de conformité public de TranscribIA. À la date du présent document, l'audit n'a pas encore été réalisé et aucun rapport SOC 2 n'est disponible.</w:t>
      </w:r>
    </w:p>
    <w:bookmarkEnd w:id="156"/>
    <w:bookmarkStart w:id="157" w:name="Xdff9f055eed22f210ec3b463d1e59173981f1ea"/>
    <w:p>
      <w:pPr>
        <w:pStyle w:val="Heading2"/>
      </w:pPr>
      <w:r>
        <w:t xml:space="preserve">4. Autres référentiels</w:t>
      </w:r>
    </w:p>
    <w:p>
      <w:pPr>
        <w:pStyle w:val="Compact"/>
        <w:numPr>
          <w:ilvl w:val="0"/>
          <w:numId w:val="1043"/>
        </w:numPr>
      </w:pPr>
      <w:r>
        <w:rPr>
          <w:b/>
          <w:bCs/>
        </w:rPr>
        <w:t xml:space="preserve">ISO/IEC 27701</w:t>
      </w:r>
      <w:r>
        <w:t xml:space="preserve"> </w:t>
      </w:r>
      <w:r>
        <w:t xml:space="preserve">: envisagée comme extension naturelle du système de management une fois la certification 27001 obtenue. À l'étude, non engagée formellement à ce stade.</w:t>
      </w:r>
    </w:p>
    <w:p>
      <w:pPr>
        <w:pStyle w:val="Compact"/>
        <w:numPr>
          <w:ilvl w:val="0"/>
          <w:numId w:val="1043"/>
        </w:numPr>
      </w:pPr>
      <w:r>
        <w:rPr>
          <w:b/>
          <w:bCs/>
        </w:rPr>
        <w:t xml:space="preserve">HDS (Hébergement de données de santé)</w:t>
      </w:r>
      <w:r>
        <w:t xml:space="preserve"> </w:t>
      </w:r>
      <w:r>
        <w:t xml:space="preserve">: à l'étude. Ce référentiel n'est pertinent que si le Client traite des</w:t>
      </w:r>
      <w:r>
        <w:t xml:space="preserve"> </w:t>
      </w:r>
      <w:r>
        <w:rPr>
          <w:b/>
          <w:bCs/>
        </w:rPr>
        <w:t xml:space="preserve">données de santé</w:t>
      </w:r>
      <w:r>
        <w:t xml:space="preserve"> </w:t>
      </w:r>
      <w:r>
        <w:t xml:space="preserve">au moyen de la Solution. Il sera examiné au cas par cas selon les besoins.</w:t>
      </w:r>
    </w:p>
    <w:p>
      <w:pPr>
        <w:pStyle w:val="Compact"/>
        <w:numPr>
          <w:ilvl w:val="0"/>
          <w:numId w:val="1043"/>
        </w:numPr>
      </w:pPr>
      <w:r>
        <w:rPr>
          <w:b/>
          <w:bCs/>
        </w:rPr>
        <w:t xml:space="preserve">SecNumCloud</w:t>
      </w:r>
      <w:r>
        <w:t xml:space="preserve"> </w:t>
      </w:r>
      <w:r>
        <w:t xml:space="preserve">: en</w:t>
      </w:r>
      <w:r>
        <w:t xml:space="preserve"> </w:t>
      </w:r>
      <w:r>
        <w:rPr>
          <w:b/>
          <w:bCs/>
        </w:rPr>
        <w:t xml:space="preserve">veille</w:t>
      </w:r>
      <w:r>
        <w:t xml:space="preserve">, non visé à court terme. Ce référentiel de qualification de l'ANSSI s'adresse principalement aux offreurs de services cloud à grande échelle, un périmètre qui ne correspond pas au positionnement actuel de TranscribIA.</w:t>
      </w:r>
    </w:p>
    <w:p>
      <w:r>
        <w:pict>
          <v:rect style="width:0;height:1.5pt" o:hralign="center" o:hrstd="t" o:hr="t"/>
        </w:pict>
      </w:r>
    </w:p>
    <w:bookmarkEnd w:id="157"/>
    <w:bookmarkStart w:id="158" w:name="X3c16480e655205b358e4f8dce0588232afc3ce6"/>
    <w:p>
      <w:pPr>
        <w:pStyle w:val="Heading2"/>
      </w:pPr>
      <w:r>
        <w:t xml:space="preserve">5. Conformité réglementaire applicable sans certification</w:t>
      </w:r>
    </w:p>
    <w:p>
      <w:pPr>
        <w:pStyle w:val="FirstParagraph"/>
      </w:pPr>
      <w:r>
        <w:t xml:space="preserve">Certaines obligations s'appliquent indépendamment de toute certification. OHADJA les traite dans le cadre de son dossier de conformité :</w:t>
      </w:r>
    </w:p>
    <w:p>
      <w:pPr>
        <w:pStyle w:val="Compact"/>
        <w:numPr>
          <w:ilvl w:val="0"/>
          <w:numId w:val="1044"/>
        </w:numPr>
      </w:pPr>
      <w:r>
        <w:rPr>
          <w:b/>
          <w:bCs/>
        </w:rPr>
        <w:t xml:space="preserve">RGPD</w:t>
      </w:r>
      <w:r>
        <w:t xml:space="preserve"> </w:t>
      </w:r>
      <w:r>
        <w:t xml:space="preserve">: la conformité au Règlement général sur la protection des données fait l'objet d'un</w:t>
      </w:r>
      <w:r>
        <w:t xml:space="preserve"> </w:t>
      </w:r>
      <w:r>
        <w:rPr>
          <w:b/>
          <w:bCs/>
        </w:rPr>
        <w:t xml:space="preserve">dossier dédié</w:t>
      </w:r>
      <w:r>
        <w:t xml:space="preserve"> </w:t>
      </w:r>
      <w:r>
        <w:t xml:space="preserve">(Accord de traitement des données à caractère personnel au titre de l'article 28, mesures techniques et organisationnelles au titre de l'article 32, gestion des droits des personnes, encadrement des sous-traitants ultérieurs et des transferts). Le RGPD est un cadre réglementaire contraignant, non un référentiel de certification.</w:t>
      </w:r>
    </w:p>
    <w:p>
      <w:pPr>
        <w:pStyle w:val="Compact"/>
        <w:numPr>
          <w:ilvl w:val="0"/>
          <w:numId w:val="1044"/>
        </w:numPr>
      </w:pPr>
      <w:r>
        <w:rPr>
          <w:b/>
          <w:bCs/>
        </w:rPr>
        <w:t xml:space="preserve">Directive NIS2</w:t>
      </w:r>
      <w:r>
        <w:t xml:space="preserve"> </w:t>
      </w:r>
      <w:r>
        <w:t xml:space="preserve">: TranscribIA n'est pas et ne peut pas être « certifié NIS2 » (une telle certification de produit n'existe pas). En revanche, ses</w:t>
      </w:r>
      <w:r>
        <w:t xml:space="preserve"> </w:t>
      </w:r>
      <w:r>
        <w:rPr>
          <w:b/>
          <w:bCs/>
        </w:rPr>
        <w:t xml:space="preserve">mesures techniques vérifiables</w:t>
      </w:r>
      <w:r>
        <w:t xml:space="preserve"> </w:t>
      </w:r>
      <w:r>
        <w:t xml:space="preserve">(contrôle d'accès, chiffrement, journalisation, gestion des incidents, continuité, sécurité de la chaîne d'approvisionnement) peuvent</w:t>
      </w:r>
      <w:r>
        <w:t xml:space="preserve"> </w:t>
      </w:r>
      <w:r>
        <w:rPr>
          <w:b/>
          <w:bCs/>
        </w:rPr>
        <w:t xml:space="preserve">contribuer</w:t>
      </w:r>
      <w:r>
        <w:t xml:space="preserve"> </w:t>
      </w:r>
      <w:r>
        <w:t xml:space="preserve">à la mise en conformité de l'entité cliente, sous la responsabilité de celle-ci. Ces éléments sont détaillés dans le dossier de conformité.</w:t>
      </w:r>
    </w:p>
    <w:p>
      <w:pPr>
        <w:pStyle w:val="Compact"/>
        <w:numPr>
          <w:ilvl w:val="0"/>
          <w:numId w:val="1044"/>
        </w:numPr>
      </w:pPr>
      <w:r>
        <w:rPr>
          <w:b/>
          <w:bCs/>
        </w:rPr>
        <w:t xml:space="preserve">Accessibilité (EAA / RGAA)</w:t>
      </w:r>
      <w:r>
        <w:t xml:space="preserve"> </w:t>
      </w:r>
      <w:r>
        <w:t xml:space="preserve">:</w:t>
      </w:r>
      <w:r>
        <w:t xml:space="preserve"> </w:t>
      </w:r>
      <w:r>
        <w:rPr>
          <w:b/>
          <w:bCs/>
        </w:rPr>
        <w:t xml:space="preserve">[À COMPLÉTER : statut de conformité en matière d'accessibilité numérique — audit RGAA réalisé ou non, taux de conformité, déclaration d'accessibilité]</w:t>
      </w:r>
      <w:r>
        <w:t xml:space="preserve">.</w:t>
      </w:r>
    </w:p>
    <w:p>
      <w:r>
        <w:pict>
          <v:rect style="width:0;height:1.5pt" o:hralign="center" o:hrstd="t" o:hr="t"/>
        </w:pict>
      </w:r>
    </w:p>
    <w:bookmarkEnd w:id="158"/>
    <w:bookmarkStart w:id="159" w:name="X259421c5b1f2bba1d219494517f0f28089bf3c9"/>
    <w:p>
      <w:pPr>
        <w:pStyle w:val="Heading2"/>
      </w:pPr>
      <w:r>
        <w:t xml:space="preserve">6. Socle documentaire ISMS — liste des 16 politiques</w:t>
      </w:r>
    </w:p>
    <w:p>
      <w:pPr>
        <w:pStyle w:val="FirstParagraph"/>
      </w:pPr>
      <w:r>
        <w:t xml:space="preserve">Le système de management de la sécurité de l'information repose sur les seize politiques formalisées de l'éditeur OHADJA, référencées</w:t>
      </w:r>
      <w:r>
        <w:t xml:space="preserve"> </w:t>
      </w:r>
      <w:r>
        <w:rPr>
          <w:b/>
          <w:bCs/>
        </w:rPr>
        <w:t xml:space="preserve">OHADJA-POL-01 à OHADJA-POL-16</w:t>
      </w:r>
      <w:r>
        <w:t xml:space="preserve">, en</w:t>
      </w:r>
      <w:r>
        <w:t xml:space="preserve"> </w:t>
      </w:r>
      <w:r>
        <w:rPr>
          <w:b/>
          <w:bCs/>
        </w:rPr>
        <w:t xml:space="preserve">Version 2.0 (révision de mai 2026)</w:t>
      </w:r>
      <w:r>
        <w:t xml:space="preserve"> </w:t>
      </w:r>
      <w:r>
        <w:t xml:space="preserve">:</w:t>
      </w:r>
    </w:p>
    <w:p>
      <w:pPr>
        <w:pStyle w:val="Compact"/>
        <w:numPr>
          <w:ilvl w:val="0"/>
          <w:numId w:val="1045"/>
        </w:numPr>
      </w:pPr>
      <w:r>
        <w:t xml:space="preserve">OHADJA-POL-01 — Politique de sécurité de l'information</w:t>
      </w:r>
    </w:p>
    <w:p>
      <w:pPr>
        <w:pStyle w:val="Compact"/>
        <w:numPr>
          <w:ilvl w:val="0"/>
          <w:numId w:val="1045"/>
        </w:numPr>
      </w:pPr>
      <w:r>
        <w:t xml:space="preserve">OHADJA-POL-02 — Politique de classification de l'information</w:t>
      </w:r>
    </w:p>
    <w:p>
      <w:pPr>
        <w:pStyle w:val="Compact"/>
        <w:numPr>
          <w:ilvl w:val="0"/>
          <w:numId w:val="1045"/>
        </w:numPr>
      </w:pPr>
      <w:r>
        <w:t xml:space="preserve">OHADJA-POL-03 — Politique de cryptographie</w:t>
      </w:r>
    </w:p>
    <w:p>
      <w:pPr>
        <w:pStyle w:val="Compact"/>
        <w:numPr>
          <w:ilvl w:val="0"/>
          <w:numId w:val="1045"/>
        </w:numPr>
      </w:pPr>
      <w:r>
        <w:t xml:space="preserve">OHADJA-POL-04 — Politique de contrôle d'accès</w:t>
      </w:r>
    </w:p>
    <w:p>
      <w:pPr>
        <w:pStyle w:val="Compact"/>
        <w:numPr>
          <w:ilvl w:val="0"/>
          <w:numId w:val="1045"/>
        </w:numPr>
      </w:pPr>
      <w:r>
        <w:t xml:space="preserve">OHADJA-POL-05 — Politique de gestion des mots de passe</w:t>
      </w:r>
    </w:p>
    <w:p>
      <w:pPr>
        <w:pStyle w:val="Compact"/>
        <w:numPr>
          <w:ilvl w:val="0"/>
          <w:numId w:val="1045"/>
        </w:numPr>
      </w:pPr>
      <w:r>
        <w:t xml:space="preserve">OHADJA-POL-06 — Politique de gestion des changements</w:t>
      </w:r>
    </w:p>
    <w:p>
      <w:pPr>
        <w:pStyle w:val="Compact"/>
        <w:numPr>
          <w:ilvl w:val="0"/>
          <w:numId w:val="1045"/>
        </w:numPr>
      </w:pPr>
      <w:r>
        <w:t xml:space="preserve">OHADJA-POL-07 — Politique de développement logiciel sécurisé (SDLC sécurisé)</w:t>
      </w:r>
    </w:p>
    <w:p>
      <w:pPr>
        <w:pStyle w:val="Compact"/>
        <w:numPr>
          <w:ilvl w:val="0"/>
          <w:numId w:val="1045"/>
        </w:numPr>
      </w:pPr>
      <w:r>
        <w:t xml:space="preserve">OHADJA-POL-08 — Politique de sécurité physique</w:t>
      </w:r>
    </w:p>
    <w:p>
      <w:pPr>
        <w:pStyle w:val="Compact"/>
        <w:numPr>
          <w:ilvl w:val="0"/>
          <w:numId w:val="1045"/>
        </w:numPr>
      </w:pPr>
      <w:r>
        <w:t xml:space="preserve">OHADJA-POL-09 — Politique de réponse à incident</w:t>
      </w:r>
    </w:p>
    <w:p>
      <w:pPr>
        <w:pStyle w:val="Compact"/>
        <w:numPr>
          <w:ilvl w:val="0"/>
          <w:numId w:val="1045"/>
        </w:numPr>
      </w:pPr>
      <w:r>
        <w:t xml:space="preserve">OHADJA-POL-10 — Politique de sauvegarde</w:t>
      </w:r>
    </w:p>
    <w:p>
      <w:pPr>
        <w:pStyle w:val="Compact"/>
        <w:numPr>
          <w:ilvl w:val="0"/>
          <w:numId w:val="1045"/>
        </w:numPr>
      </w:pPr>
      <w:r>
        <w:t xml:space="preserve">OHADJA-POL-11 — Politique de continuité et de reprise d'activité (PCA / PRA)</w:t>
      </w:r>
    </w:p>
    <w:p>
      <w:pPr>
        <w:pStyle w:val="Compact"/>
        <w:numPr>
          <w:ilvl w:val="0"/>
          <w:numId w:val="1045"/>
        </w:numPr>
      </w:pPr>
      <w:r>
        <w:t xml:space="preserve">OHADJA-POL-12 — Politique de sécurité réseau</w:t>
      </w:r>
    </w:p>
    <w:p>
      <w:pPr>
        <w:pStyle w:val="Compact"/>
        <w:numPr>
          <w:ilvl w:val="0"/>
          <w:numId w:val="1045"/>
        </w:numPr>
      </w:pPr>
      <w:r>
        <w:t xml:space="preserve">OHADJA-POL-13 — Politique de protection des données</w:t>
      </w:r>
    </w:p>
    <w:p>
      <w:pPr>
        <w:pStyle w:val="Compact"/>
        <w:numPr>
          <w:ilvl w:val="0"/>
          <w:numId w:val="1045"/>
        </w:numPr>
      </w:pPr>
      <w:r>
        <w:t xml:space="preserve">OHADJA-POL-14 — Politique d'éthique</w:t>
      </w:r>
    </w:p>
    <w:p>
      <w:pPr>
        <w:pStyle w:val="Compact"/>
        <w:numPr>
          <w:ilvl w:val="0"/>
          <w:numId w:val="1045"/>
        </w:numPr>
      </w:pPr>
      <w:r>
        <w:t xml:space="preserve">OHADJA-POL-15 — Politique d'usage acceptable</w:t>
      </w:r>
    </w:p>
    <w:p>
      <w:pPr>
        <w:pStyle w:val="Compact"/>
        <w:numPr>
          <w:ilvl w:val="0"/>
          <w:numId w:val="1045"/>
        </w:numPr>
      </w:pPr>
      <w:r>
        <w:t xml:space="preserve">OHADJA-POL-16 — Politique de gestion des vulnérabilités et des correctifs (patchs)</w:t>
      </w:r>
    </w:p>
    <w:p>
      <w:r>
        <w:pict>
          <v:rect style="width:0;height:1.5pt" o:hralign="center" o:hrstd="t" o:hr="t"/>
        </w:pict>
      </w:r>
    </w:p>
    <w:bookmarkEnd w:id="159"/>
    <w:bookmarkStart w:id="160" w:name="Xc8fed863851aa9c00eed84623d24aa00af6affd"/>
    <w:p>
      <w:pPr>
        <w:pStyle w:val="Heading2"/>
      </w:pPr>
      <w:r>
        <w:t xml:space="preserve">7. Mise à disposition</w:t>
      </w:r>
    </w:p>
    <w:p>
      <w:pPr>
        <w:pStyle w:val="FirstParagraph"/>
      </w:pPr>
      <w:r>
        <w:t xml:space="preserve">Des</w:t>
      </w:r>
      <w:r>
        <w:t xml:space="preserve"> </w:t>
      </w:r>
      <w:r>
        <w:rPr>
          <w:b/>
          <w:bCs/>
        </w:rPr>
        <w:t xml:space="preserve">attestations d'avancement</w:t>
      </w:r>
      <w:r>
        <w:t xml:space="preserve"> </w:t>
      </w:r>
      <w:r>
        <w:t xml:space="preserve">de la démarche de conformité et de certification sont</w:t>
      </w:r>
      <w:r>
        <w:t xml:space="preserve"> </w:t>
      </w:r>
      <w:r>
        <w:rPr>
          <w:b/>
          <w:bCs/>
        </w:rPr>
        <w:t xml:space="preserve">disponibles sur demande</w:t>
      </w:r>
      <w:r>
        <w:t xml:space="preserve">. OHADJA s'engage à décrire l'état réel de ses travaux, sans anticiper l'obtention d'une certification non encore délivrée.</w:t>
      </w:r>
    </w:p>
    <w:p>
      <w:r>
        <w:pict>
          <v:rect style="width:0;height:1.5pt" o:hralign="center" o:hrstd="t" o:hr="t"/>
        </w:pict>
      </w:r>
    </w:p>
    <w:p>
      <w:pPr>
        <w:pStyle w:val="FirstParagraph"/>
      </w:pPr>
      <w:r>
        <w:rPr>
          <w:i/>
          <w:iCs/>
        </w:rPr>
        <w:t xml:space="preserve">Document de travail établi par OHADJA — à faire valider par votre conseil juridique / DPO avant signature.</w:t>
      </w:r>
    </w:p>
    <w:bookmarkEnd w:id="160"/>
    <w:bookmarkEnd w:id="16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1"/>
  </w:num>
  <w:num w:numId="1029">
    <w:abstractNumId w:val="991"/>
  </w:num>
  <w:num w:numId="1030">
    <w:abstractNumId w:val="991"/>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1"/>
  </w:num>
  <w:num w:numId="1041">
    <w:abstractNumId w:val="991"/>
  </w:num>
  <w:num w:numId="1042">
    <w:abstractNumId w:val="991"/>
  </w:num>
  <w:num w:numId="1043">
    <w:abstractNumId w:val="991"/>
  </w:num>
  <w:num w:numId="1044">
    <w:abstractNumId w:val="991"/>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56" Target="media/rId56.png" /><Relationship Type="http://schemas.openxmlformats.org/officeDocument/2006/relationships/image" Id="rId73" Target="media/rId73.png" /><Relationship Type="http://schemas.openxmlformats.org/officeDocument/2006/relationships/hyperlink" Id="rId49" Target="mailto:olivier@ambassadia.com" TargetMode="External" /><Relationship Type="http://schemas.openxmlformats.org/officeDocument/2006/relationships/hyperlink" Id="rId9" Target="mailto:privacy@transcribia.eu" TargetMode="External" /></Relationships>
</file>

<file path=word/_rels/footnotes.xml.rels><?xml version="1.0" encoding="UTF-8"?><Relationships xmlns="http://schemas.openxmlformats.org/package/2006/relationships"><Relationship Type="http://schemas.openxmlformats.org/officeDocument/2006/relationships/hyperlink" Id="rId49" Target="mailto:olivier@ambassadia.com" TargetMode="External" /><Relationship Type="http://schemas.openxmlformats.org/officeDocument/2006/relationships/hyperlink" Id="rId9" Target="mailto:privacy@transcribia.e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2026-07-25T09:45:14Z</dcterms:created>
  <dcterms:modified xsi:type="dcterms:W3CDTF">2026-07-25T09:45:14Z</dcterms:modified>
</cp:coreProperties>
</file>

<file path=docProps/custom.xml><?xml version="1.0" encoding="utf-8"?>
<Properties xmlns="http://schemas.openxmlformats.org/officeDocument/2006/custom-properties" xmlns:vt="http://schemas.openxmlformats.org/officeDocument/2006/docPropsVTypes"/>
</file>