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4.png" ContentType="image/png"/>
  <Override PartName="/word/media/rId67.png" ContentType="image/png"/>
  <Override PartName="/word/media/rId74.png" ContentType="image/png"/>
  <Override PartName="/word/media/rId5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"1-1" \h \z \u</w:instrText>
            <w:fldChar w:fldCharType="separate"/>
            <w:fldChar w:fldCharType="end"/>
          </w:r>
        </w:p>
      </w:sdtContent>
    </w:sdt>
    <w:bookmarkStart w:id="10" w:name="X8c49a6367cbdba0d951f60eb8e002245ef9f784"/>
    <w:p>
      <w:pPr>
        <w:pStyle w:val="Heading1"/>
      </w:pPr>
      <w:r>
        <w:t xml:space="preserve">TranscribIA — Recueil technique &amp; déploiement on-premise</w:t>
      </w:r>
    </w:p>
    <w:p>
      <w:pPr>
        <w:pStyle w:val="FirstParagraph"/>
      </w:pPr>
      <w:r>
        <w:rPr>
          <w:b/>
          <w:bCs/>
        </w:rPr>
        <w:t xml:space="preserve">Éditeur : OHADJA</w:t>
      </w:r>
      <w:r>
        <w:t xml:space="preserve"> </w:t>
      </w:r>
      <w:r>
        <w:t xml:space="preserve">— SAS, 992 146 480 R.C.S. Paris, 60 rue François Ier, 75008 Paris · Contact protection des données :</w:t>
      </w:r>
      <w:r>
        <w:t xml:space="preserve"> </w:t>
      </w:r>
      <w:hyperlink r:id="rId9">
        <w:r>
          <w:rPr>
            <w:rStyle w:val="Hyperlink"/>
          </w:rPr>
          <w:t xml:space="preserve">privacy@transcribia.eu</w:t>
        </w:r>
      </w:hyperlink>
    </w:p>
    <w:p>
      <w:pPr>
        <w:pStyle w:val="BodyText"/>
      </w:pPr>
      <w:r>
        <w:rPr>
          <w:i/>
          <w:iCs/>
        </w:rPr>
        <w:t xml:space="preserve">Recueil version 1.0 du 2026-07-25 — Public. Chaque chapitre est également disponible en document séparé sur demande.</w:t>
      </w:r>
    </w:p>
    <w:p>
      <w:r>
        <w:br w:type="page"/>
      </w:r>
    </w:p>
    <w:bookmarkEnd w:id="10"/>
    <w:bookmarkStart w:id="37" w:name="Xc4440db849f7f1648a52ae2b4e5324a44473266"/>
    <w:p>
      <w:pPr>
        <w:pStyle w:val="Heading1"/>
      </w:pPr>
      <w:r>
        <w:t xml:space="preserve">Dossier technique et sécurité (version publique)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TRB-CONF-01.06-P</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Classification</w:t>
            </w:r>
          </w:p>
        </w:tc>
        <w:tc>
          <w:tcPr/>
          <w:p>
            <w:pPr>
              <w:pStyle w:val="Compact"/>
            </w:pPr>
            <w:r>
              <w:t xml:space="preserve">Public — document type, précisé lors de chaque contractualisation</w:t>
            </w:r>
          </w:p>
        </w:tc>
      </w:tr>
    </w:tbl>
    <w:p>
      <w:pPr>
        <w:pStyle w:val="BlockText"/>
      </w:pPr>
      <w:r>
        <w:t xml:space="preserve">Version publique expurgée du dossier technique. Les détails opérationnels sensibles (exposition réseau détaillée, configuration précise du durcissement, chemins internes) ne figurent pas dans cette version. La version complète (référence TRB-CONF-01.06, classée confidentielle) est remise au client sur demande, dans le cadre d'un accord de confidentialité.</w:t>
      </w:r>
    </w:p>
    <w:bookmarkStart w:id="11" w:name="X32ae317e6cb73c0ebf6349a8ae72678e98d72a1"/>
    <w:p>
      <w:pPr>
        <w:pStyle w:val="Heading2"/>
      </w:pPr>
      <w:r>
        <w:t xml:space="preserve">1. Objet et portée</w:t>
      </w:r>
    </w:p>
    <w:p>
      <w:pPr>
        <w:pStyle w:val="FirstParagraph"/>
      </w:pPr>
      <w:r>
        <w:t xml:space="preserve">Le présent dossier décrit l'architecture technique et les mesures de sécurité de la solution TranscribIA, à l'usage de votre DSI et de votre RSSI. Il couvre l'architecture applicative, la sécurité applicative, la sécurité de l'infrastructure en mode SaaS, les sauvegardes et la continuité d'activité, la supervision, ainsi que la gestion des vulnérabilités et des mises à jour.</w:t>
      </w:r>
    </w:p>
    <w:p>
      <w:pPr>
        <w:pStyle w:val="BodyText"/>
      </w:pPr>
      <w:r>
        <w:t xml:space="preserve">Sauf mention contraire, la stack applicative est</w:t>
      </w:r>
      <w:r>
        <w:t xml:space="preserve"> </w:t>
      </w:r>
      <w:r>
        <w:rPr>
          <w:b/>
          <w:bCs/>
        </w:rPr>
        <w:t xml:space="preserve">identique dans les deux modes de déploiement</w:t>
      </w:r>
      <w:r>
        <w:t xml:space="preserve"> </w:t>
      </w:r>
      <w:r>
        <w:t xml:space="preserve">(Option A SaaS et Option B on-premise). Les sections relatives à l'infrastructure, aux sauvegardes et à la supervision décrivent le mode SaaS opéré par OHADJA ; en Option B, ces responsabilités incombent au client sur son infrastructure, sauf mission confiée à OHADJA.</w:t>
      </w:r>
    </w:p>
    <w:bookmarkEnd w:id="11"/>
    <w:bookmarkStart w:id="15" w:name="X7fcc582daacdaa25b5bd328960ff7e873b0465b"/>
    <w:p>
      <w:pPr>
        <w:pStyle w:val="Heading2"/>
      </w:pPr>
      <w:r>
        <w:t xml:space="preserve">2. Architecture applicative</w:t>
      </w:r>
    </w:p>
    <w:bookmarkStart w:id="12" w:name="X7a165fe3aa471668fe573f6da2946918df69385"/>
    <w:p>
      <w:pPr>
        <w:pStyle w:val="Heading3"/>
      </w:pPr>
      <w:r>
        <w:t xml:space="preserve">2.1 Stack technique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Couche</w:t>
            </w:r>
          </w:p>
        </w:tc>
        <w:tc>
          <w:tcPr/>
          <w:p>
            <w:pPr>
              <w:pStyle w:val="Compact"/>
            </w:pPr>
            <w:r>
              <w:t xml:space="preserve">Technologie</w:t>
            </w:r>
          </w:p>
        </w:tc>
      </w:tr>
      <w:tr>
        <w:tc>
          <w:tcPr/>
          <w:p>
            <w:pPr>
              <w:pStyle w:val="Compact"/>
            </w:pPr>
            <w:r>
              <w:t xml:space="preserve">Backend</w:t>
            </w:r>
          </w:p>
        </w:tc>
        <w:tc>
          <w:tcPr/>
          <w:p>
            <w:pPr>
              <w:pStyle w:val="Compact"/>
            </w:pPr>
            <w:r>
              <w:t xml:space="preserve">Laravel 12 / PHP 8.3</w:t>
            </w:r>
          </w:p>
        </w:tc>
      </w:tr>
      <w:tr>
        <w:tc>
          <w:tcPr/>
          <w:p>
            <w:pPr>
              <w:pStyle w:val="Compact"/>
            </w:pPr>
            <w:r>
              <w:t xml:space="preserve">API</w:t>
            </w:r>
          </w:p>
        </w:tc>
        <w:tc>
          <w:tcPr/>
          <w:p>
            <w:pPr>
              <w:pStyle w:val="Compact"/>
            </w:pPr>
            <w:r>
              <w:t xml:space="preserve">Laravel Sanctum (jetons Bearer hachés SHA-256)</w:t>
            </w:r>
          </w:p>
        </w:tc>
      </w:tr>
      <w:tr>
        <w:tc>
          <w:tcPr/>
          <w:p>
            <w:pPr>
              <w:pStyle w:val="Compact"/>
            </w:pPr>
            <w:r>
              <w:t xml:space="preserve">Frontend</w:t>
            </w:r>
          </w:p>
        </w:tc>
        <w:tc>
          <w:tcPr/>
          <w:p>
            <w:pPr>
              <w:pStyle w:val="Compact"/>
            </w:pPr>
            <w:r>
              <w:t xml:space="preserve">React 19 + TypeScript</w:t>
            </w:r>
          </w:p>
        </w:tc>
      </w:tr>
      <w:tr>
        <w:tc>
          <w:tcPr/>
          <w:p>
            <w:pPr>
              <w:pStyle w:val="Compact"/>
            </w:pPr>
            <w:r>
              <w:t xml:space="preserve">Base de données</w:t>
            </w:r>
          </w:p>
        </w:tc>
        <w:tc>
          <w:tcPr/>
          <w:p>
            <w:pPr>
              <w:pStyle w:val="Compact"/>
            </w:pPr>
            <w:r>
              <w:t xml:space="preserve">PostgreSQL 16, architecture schema-per-organisation</w:t>
            </w:r>
          </w:p>
        </w:tc>
      </w:tr>
      <w:tr>
        <w:tc>
          <w:tcPr/>
          <w:p>
            <w:pPr>
              <w:pStyle w:val="Compact"/>
            </w:pPr>
            <w:r>
              <w:t xml:space="preserve">Cache / sessions / file d'attente</w:t>
            </w:r>
          </w:p>
        </w:tc>
        <w:tc>
          <w:tcPr/>
          <w:p>
            <w:pPr>
              <w:pStyle w:val="Compact"/>
            </w:pPr>
            <w:r>
              <w:t xml:space="preserve">Redis 7</w:t>
            </w:r>
          </w:p>
        </w:tc>
      </w:tr>
      <w:tr>
        <w:tc>
          <w:tcPr/>
          <w:p>
            <w:pPr>
              <w:pStyle w:val="Compact"/>
            </w:pPr>
            <w:r>
              <w:t xml:space="preserve">Temps réel</w:t>
            </w:r>
          </w:p>
        </w:tc>
        <w:tc>
          <w:tcPr/>
          <w:p>
            <w:pPr>
              <w:pStyle w:val="Compact"/>
            </w:pPr>
            <w:r>
              <w:t xml:space="preserve">Laravel Reverb (WebSocket)</w:t>
            </w:r>
          </w:p>
        </w:tc>
      </w:tr>
      <w:tr>
        <w:tc>
          <w:tcPr/>
          <w:p>
            <w:pPr>
              <w:pStyle w:val="Compact"/>
            </w:pPr>
            <w:r>
              <w:t xml:space="preserve">Reverse proxy</w:t>
            </w:r>
          </w:p>
        </w:tc>
        <w:tc>
          <w:tcPr/>
          <w:p>
            <w:pPr>
              <w:pStyle w:val="Compact"/>
            </w:pPr>
            <w:r>
              <w:t xml:space="preserve">Nginx 1.27</w:t>
            </w:r>
          </w:p>
        </w:tc>
      </w:tr>
      <w:tr>
        <w:tc>
          <w:tcPr/>
          <w:p>
            <w:pPr>
              <w:pStyle w:val="Compact"/>
            </w:pPr>
            <w:r>
              <w:t xml:space="preserve">Orchestration</w:t>
            </w:r>
          </w:p>
        </w:tc>
        <w:tc>
          <w:tcPr/>
          <w:p>
            <w:pPr>
              <w:pStyle w:val="Compact"/>
            </w:pPr>
            <w:r>
              <w:t xml:space="preserve">Docker Compose — 8 services + sidecar antivirus</w:t>
            </w:r>
          </w:p>
        </w:tc>
      </w:tr>
    </w:tbl>
    <w:bookmarkEnd w:id="12"/>
    <w:bookmarkStart w:id="13" w:name="Xce8aa5e30fb6bff0136505a7e826f0e98b2dee0"/>
    <w:p>
      <w:pPr>
        <w:pStyle w:val="Heading3"/>
      </w:pPr>
      <w:r>
        <w:t xml:space="preserve">2.2 Services et exposition réseau</w:t>
      </w:r>
    </w:p>
    <w:p>
      <w:pPr>
        <w:pStyle w:val="FirstParagraph"/>
      </w:pPr>
      <w:r>
        <w:t xml:space="preserve">Le déploiement Docker Compose comprend huit services (nginx, app, queue, scheduler, reverb, frontend, postgres, redis), auxquels s'ajoute un sidecar ClamAV.</w:t>
      </w:r>
    </w:p>
    <w:p>
      <w:pPr>
        <w:pStyle w:val="SourceCode"/>
      </w:pPr>
      <w:r>
        <w:rPr>
          <w:rStyle w:val="VerbatimChar"/>
        </w:rPr>
        <w:t xml:space="preserve">                Internet (HTTPS 443)</w:t>
      </w:r>
      <w:r>
        <w:br/>
      </w:r>
      <w:r>
        <w:rPr>
          <w:rStyle w:val="VerbatimChar"/>
        </w:rPr>
        <w:t xml:space="preserve">                        |</w:t>
      </w:r>
      <w:r>
        <w:br/>
      </w:r>
      <w:r>
        <w:rPr>
          <w:rStyle w:val="VerbatimChar"/>
        </w:rPr>
        <w:t xml:space="preserve">              [ Traefik v3.6 ] (SaaS) — TLS, HSTS</w:t>
      </w:r>
      <w:r>
        <w:br/>
      </w:r>
      <w:r>
        <w:rPr>
          <w:rStyle w:val="VerbatimChar"/>
        </w:rPr>
        <w:t xml:space="preserve">                        |</w:t>
      </w:r>
      <w:r>
        <w:br/>
      </w:r>
      <w:r>
        <w:rPr>
          <w:rStyle w:val="VerbatimChar"/>
        </w:rPr>
        <w:t xml:space="preserve">                 [ Reverse proxy ]</w:t>
      </w:r>
      <w:r>
        <w:br/>
      </w:r>
      <w:r>
        <w:rPr>
          <w:rStyle w:val="VerbatimChar"/>
        </w:rPr>
        <w:t xml:space="preserve">                        |</w:t>
      </w:r>
      <w:r>
        <w:br/>
      </w:r>
      <w:r>
        <w:rPr>
          <w:rStyle w:val="VerbatimChar"/>
        </w:rPr>
        <w:t xml:space="preserve">   [ Application ] — [ Files d'attente / temps réel ] — [ Frontend ]</w:t>
      </w:r>
      <w:r>
        <w:br/>
      </w:r>
      <w:r>
        <w:rPr>
          <w:rStyle w:val="VerbatimChar"/>
        </w:rPr>
        <w:t xml:space="preserve">                        |</w:t>
      </w:r>
      <w:r>
        <w:br/>
      </w:r>
      <w:r>
        <w:rPr>
          <w:rStyle w:val="VerbatimChar"/>
        </w:rPr>
        <w:t xml:space="preserve">     [ Base de données ]     [ Cache ]     [ Antivirus ]</w:t>
      </w:r>
    </w:p>
    <w:p>
      <w:pPr>
        <w:pStyle w:val="FirstParagraph"/>
      </w:pPr>
      <w:r>
        <w:t xml:space="preserve">Les composants internes (base de données, cache, files d'attente, antivirus, application) ne sont pas exposés à l'extérieur : ils communiquent uniquement au sein du réseau privé de l'orchestration. Seul le port 443 (HTTPS) est accessible depuis l'extérieur, via le reverse proxy Traefik, avec redirection automatique de 80 vers 443.</w:t>
      </w:r>
    </w:p>
    <w:bookmarkEnd w:id="13"/>
    <w:bookmarkStart w:id="14" w:name="Xd6683916497b3f1a0709179c576fdc93c2aa977"/>
    <w:p>
      <w:pPr>
        <w:pStyle w:val="Heading3"/>
      </w:pPr>
      <w:r>
        <w:t xml:space="preserve">2.3 Isolation multi-tenant</w:t>
      </w:r>
    </w:p>
    <w:p>
      <w:pPr>
        <w:pStyle w:val="FirstParagraph"/>
      </w:pPr>
      <w:r>
        <w:t xml:space="preserve">L'isolation des organisations repose sur une architecture</w:t>
      </w:r>
      <w:r>
        <w:t xml:space="preserve"> </w:t>
      </w:r>
      <w:r>
        <w:rPr>
          <w:b/>
          <w:bCs/>
        </w:rPr>
        <w:t xml:space="preserve">schema-per-organisation</w:t>
      </w:r>
      <w:r>
        <w:t xml:space="preserve"> </w:t>
      </w:r>
      <w:r>
        <w:t xml:space="preserve">: chaque organisation dispose d'un schéma PostgreSQL dédié. Un middleware applicatif positionne le contexte tenant avant l'exécution de chaque requête, de sorte que les accès sont limités aux données de l'organisation concernée. Cette isolation logique empêche l'accès croisé aux données entre organisations.</w:t>
      </w:r>
    </w:p>
    <w:bookmarkEnd w:id="14"/>
    <w:bookmarkEnd w:id="15"/>
    <w:bookmarkStart w:id="21" w:name="X5d35c5e707a1792d59deda222ffaeb6e449fdab"/>
    <w:p>
      <w:pPr>
        <w:pStyle w:val="Heading2"/>
      </w:pPr>
      <w:r>
        <w:t xml:space="preserve">3. Sécurité applicative</w:t>
      </w:r>
    </w:p>
    <w:bookmarkStart w:id="16" w:name="X37934700d272fff4fb4bb805390362e78aae795"/>
    <w:p>
      <w:pPr>
        <w:pStyle w:val="Heading3"/>
      </w:pPr>
      <w:r>
        <w:t xml:space="preserve">3.1 Authentification et gestion des accès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Mesure</w:t>
            </w:r>
          </w:p>
        </w:tc>
        <w:tc>
          <w:tcPr/>
          <w:p>
            <w:pPr>
              <w:pStyle w:val="Compact"/>
            </w:pPr>
            <w:r>
              <w:t xml:space="preserve">Détail</w:t>
            </w:r>
          </w:p>
        </w:tc>
      </w:tr>
      <w:tr>
        <w:tc>
          <w:tcPr/>
          <w:p>
            <w:pPr>
              <w:pStyle w:val="Compact"/>
            </w:pPr>
            <w:r>
              <w:t xml:space="preserve">Jetons API</w:t>
            </w:r>
          </w:p>
        </w:tc>
        <w:tc>
          <w:tcPr/>
          <w:p>
            <w:pPr>
              <w:pStyle w:val="Compact"/>
            </w:pPr>
            <w:r>
              <w:t xml:space="preserve">Laravel Sanctum, jetons Bearer hachés en SHA-256 en base</w:t>
            </w:r>
          </w:p>
        </w:tc>
      </w:tr>
      <w:tr>
        <w:tc>
          <w:tcPr/>
          <w:p>
            <w:pPr>
              <w:pStyle w:val="Compact"/>
            </w:pPr>
            <w:r>
              <w:t xml:space="preserve">Mots de passe</w:t>
            </w:r>
          </w:p>
        </w:tc>
        <w:tc>
          <w:tcPr/>
          <w:p>
            <w:pPr>
              <w:pStyle w:val="Compact"/>
            </w:pPr>
            <w:r>
              <w:t xml:space="preserve">Hachage bcrypt, coût 12</w:t>
            </w:r>
          </w:p>
        </w:tc>
      </w:tr>
      <w:tr>
        <w:tc>
          <w:tcPr/>
          <w:p>
            <w:pPr>
              <w:pStyle w:val="Compact"/>
            </w:pPr>
            <w:r>
              <w:t xml:space="preserve">Double authentification (2FA)</w:t>
            </w:r>
          </w:p>
        </w:tc>
        <w:tc>
          <w:tcPr/>
          <w:p>
            <w:pPr>
              <w:pStyle w:val="Compact"/>
            </w:pPr>
            <w:r>
              <w:t xml:space="preserve">TOTP conforme RFC 6238, configurable par rôle ; secrets 2FA chiffrés en AES-256-CBC</w:t>
            </w:r>
          </w:p>
        </w:tc>
      </w:tr>
      <w:tr>
        <w:tc>
          <w:tcPr/>
          <w:p>
            <w:pPr>
              <w:pStyle w:val="Compact"/>
            </w:pPr>
            <w:r>
              <w:t xml:space="preserve">Confirmation renforcée (step-up)</w:t>
            </w:r>
          </w:p>
        </w:tc>
        <w:tc>
          <w:tcPr/>
          <w:p>
            <w:pPr>
              <w:pStyle w:val="Compact"/>
            </w:pPr>
            <w:r>
              <w:t xml:space="preserve">Nouvelle saisie du mot de passe exigée sur les actions destructives (suppression, restauration, modification de politique 2FA)</w:t>
            </w:r>
          </w:p>
        </w:tc>
      </w:tr>
      <w:tr>
        <w:tc>
          <w:tcPr/>
          <w:p>
            <w:pPr>
              <w:pStyle w:val="Compact"/>
            </w:pPr>
            <w:r>
              <w:t xml:space="preserve">Contrôle d'accès (RBAC)</w:t>
            </w:r>
          </w:p>
        </w:tc>
        <w:tc>
          <w:tcPr/>
          <w:p>
            <w:pPr>
              <w:pStyle w:val="Compact"/>
            </w:pPr>
            <w:r>
              <w:t xml:space="preserve">5 niveaux : super_admin, agent / super_agent, manager, team_lead, user</w:t>
            </w:r>
          </w:p>
        </w:tc>
      </w:tr>
      <w:tr>
        <w:tc>
          <w:tcPr/>
          <w:p>
            <w:pPr>
              <w:pStyle w:val="Compact"/>
            </w:pPr>
            <w:r>
              <w:t xml:space="preserve">Limitation de débit</w:t>
            </w:r>
          </w:p>
        </w:tc>
        <w:tc>
          <w:tcPr/>
          <w:p>
            <w:pPr>
              <w:pStyle w:val="Compact"/>
            </w:pPr>
            <w:r>
              <w:t xml:space="preserve">Rate limiting Laravel sur les endpoints sensibles</w:t>
            </w:r>
          </w:p>
        </w:tc>
      </w:tr>
      <w:tr>
        <w:tc>
          <w:tcPr/>
          <w:p>
            <w:pPr>
              <w:pStyle w:val="Compact"/>
            </w:pPr>
            <w:r>
              <w:t xml:space="preserve">Politiques web</w:t>
            </w:r>
          </w:p>
        </w:tc>
        <w:tc>
          <w:tcPr/>
          <w:p>
            <w:pPr>
              <w:pStyle w:val="Compact"/>
            </w:pPr>
            <w:r>
              <w:t xml:space="preserve">CORS strict et politique de sécurité du contenu (CSP) active</w:t>
            </w:r>
          </w:p>
        </w:tc>
      </w:tr>
    </w:tbl>
    <w:bookmarkEnd w:id="16"/>
    <w:bookmarkStart w:id="17" w:name="X9acfeef6870ddb2089f9192e7a3f90093a461f0"/>
    <w:p>
      <w:pPr>
        <w:pStyle w:val="Heading3"/>
      </w:pPr>
      <w:r>
        <w:t xml:space="preserve">3.2 Protection des contenus téléversés</w:t>
      </w:r>
    </w:p>
    <w:p>
      <w:pPr>
        <w:pStyle w:val="FirstParagraph"/>
      </w:pPr>
      <w:r>
        <w:t xml:space="preserve">Chaque téléversement est analysé par un sidecar</w:t>
      </w:r>
      <w:r>
        <w:t xml:space="preserve"> </w:t>
      </w:r>
      <w:r>
        <w:rPr>
          <w:b/>
          <w:bCs/>
        </w:rPr>
        <w:t xml:space="preserve">ClamAV 1.4</w:t>
      </w:r>
      <w:r>
        <w:t xml:space="preserve"> </w:t>
      </w:r>
      <w:r>
        <w:t xml:space="preserve">avant écriture disque :</w:t>
      </w:r>
    </w:p>
    <w:p>
      <w:pPr>
        <w:pStyle w:val="Compact"/>
        <w:numPr>
          <w:ilvl w:val="0"/>
          <w:numId w:val="1001"/>
        </w:numPr>
      </w:pPr>
      <w:r>
        <w:t xml:space="preserve">limite d'analyse : 2 Go ;</w:t>
      </w:r>
    </w:p>
    <w:p>
      <w:pPr>
        <w:pStyle w:val="Compact"/>
        <w:numPr>
          <w:ilvl w:val="0"/>
          <w:numId w:val="1001"/>
        </w:numPr>
      </w:pPr>
      <w:r>
        <w:t xml:space="preserve">signatures maintenues à jour via freshclam ;</w:t>
      </w:r>
    </w:p>
    <w:p>
      <w:pPr>
        <w:pStyle w:val="Compact"/>
        <w:numPr>
          <w:ilvl w:val="0"/>
          <w:numId w:val="1001"/>
        </w:numPr>
      </w:pPr>
      <w:r>
        <w:t xml:space="preserve">rejet des fichiers infectés, journalisation et alerte ;</w:t>
      </w:r>
    </w:p>
    <w:p>
      <w:pPr>
        <w:pStyle w:val="Compact"/>
        <w:numPr>
          <w:ilvl w:val="0"/>
          <w:numId w:val="1001"/>
        </w:numPr>
      </w:pPr>
      <w:r>
        <w:t xml:space="preserve">comportement « fail-open » journalisé en cas d'indisponibilité du scanner (à intégrer dans l'analyse de risque du client).</w:t>
      </w:r>
    </w:p>
    <w:p>
      <w:pPr>
        <w:pStyle w:val="FirstParagraph"/>
      </w:pPr>
      <w:r>
        <w:t xml:space="preserve">L'accès au streaming des fichiers audio s'effectue par</w:t>
      </w:r>
      <w:r>
        <w:t xml:space="preserve"> </w:t>
      </w:r>
      <w:r>
        <w:rPr>
          <w:b/>
          <w:bCs/>
        </w:rPr>
        <w:t xml:space="preserve">URL signée temporaire</w:t>
      </w:r>
      <w:r>
        <w:t xml:space="preserve"> </w:t>
      </w:r>
      <w:r>
        <w:t xml:space="preserve">(validité 30 minutes) ; aucun accès direct non autorisé n'est exposé publiquement.</w:t>
      </w:r>
    </w:p>
    <w:bookmarkEnd w:id="17"/>
    <w:bookmarkStart w:id="18" w:name="Xbda68e9ebdc8f6c6314e39dd9f09cc7425377c6"/>
    <w:p>
      <w:pPr>
        <w:pStyle w:val="Heading3"/>
      </w:pPr>
      <w:r>
        <w:t xml:space="preserve">3.3 Journalisation et audit</w:t>
      </w:r>
    </w:p>
    <w:p>
      <w:pPr>
        <w:pStyle w:val="FirstParagraph"/>
      </w:pPr>
      <w:r>
        <w:t xml:space="preserve">La traçabilité repose sur deux niveaux :</w:t>
      </w:r>
    </w:p>
    <w:p>
      <w:pPr>
        <w:pStyle w:val="Compact"/>
        <w:numPr>
          <w:ilvl w:val="0"/>
          <w:numId w:val="1002"/>
        </w:numPr>
      </w:pPr>
      <w:r>
        <w:t xml:space="preserve">un journal d'audit propre à chaque organisation (</w:t>
      </w:r>
      <w:r>
        <w:rPr>
          <w:rStyle w:val="VerbatimChar"/>
        </w:rPr>
        <w:t xml:space="preserve">activity_logs</w:t>
      </w:r>
      <w:r>
        <w:t xml:space="preserve">) ;</w:t>
      </w:r>
    </w:p>
    <w:p>
      <w:pPr>
        <w:pStyle w:val="Compact"/>
        <w:numPr>
          <w:ilvl w:val="0"/>
          <w:numId w:val="1002"/>
        </w:numPr>
      </w:pPr>
      <w:r>
        <w:t xml:space="preserve">un journal des événements plateforme (</w:t>
      </w:r>
      <w:r>
        <w:rPr>
          <w:rStyle w:val="VerbatimChar"/>
        </w:rPr>
        <w:t xml:space="preserve">public.audit_logs</w:t>
      </w:r>
      <w:r>
        <w:t xml:space="preserve">).</w:t>
      </w:r>
    </w:p>
    <w:p>
      <w:pPr>
        <w:pStyle w:val="FirstParagraph"/>
      </w:pPr>
      <w:r>
        <w:t xml:space="preserve">Les journaux couvrent les connexions, créations, modifications, suppressions, téléversements, traitements, erreurs, exports et opérations d'administration. Ils sont exportables en CSV/JSON pour les besoins d'audit du client.</w:t>
      </w:r>
    </w:p>
    <w:bookmarkEnd w:id="18"/>
    <w:bookmarkStart w:id="19" w:name="X79899a769a7ceb00c431efb514f74e4d7ac923f"/>
    <w:p>
      <w:pPr>
        <w:pStyle w:val="Heading3"/>
      </w:pPr>
      <w:r>
        <w:t xml:space="preserve">3.4 Protection anti-SSRF des endpoints d'IA par organisation</w:t>
      </w:r>
    </w:p>
    <w:p>
      <w:pPr>
        <w:pStyle w:val="FirstParagraph"/>
      </w:pPr>
      <w:r>
        <w:t xml:space="preserve">La fonctionnalité de configuration LLM par organisation (URL de modèle auto-hébergé) est protégée contre les attaques de type SSRF (version 1.7.1) : validation de l'adresse cible, blocage des adresses internes et des services de métadonnées, restriction aux destinations publiques légitimes. Cette protection garantit qu'une URL de modèle configurée par une organisation ne peut être détournée pour atteindre des ressources internes.</w:t>
      </w:r>
    </w:p>
    <w:bookmarkEnd w:id="19"/>
    <w:bookmarkStart w:id="20" w:name="X780695c33447f03d1f1a0964e11c9ae5fba8203"/>
    <w:p>
      <w:pPr>
        <w:pStyle w:val="Heading3"/>
      </w:pPr>
      <w:r>
        <w:t xml:space="preserve">3.5 Sécurité des traitements d'IA</w:t>
      </w:r>
    </w:p>
    <w:p>
      <w:pPr>
        <w:pStyle w:val="Compact"/>
        <w:numPr>
          <w:ilvl w:val="0"/>
          <w:numId w:val="1003"/>
        </w:numPr>
      </w:pPr>
      <w:r>
        <w:rPr>
          <w:b/>
          <w:bCs/>
        </w:rPr>
        <w:t xml:space="preserve">Voie primaire — inférence maîtrisée en Europe.</w:t>
      </w:r>
      <w:r>
        <w:t xml:space="preserve"> </w:t>
      </w:r>
      <w:r>
        <w:t xml:space="preserve">Les fonctions d'IA reposent par défaut sur des serveurs GPU maîtrisés par OHADJA exécutant vLLM avec des modèles open-weights ([À COMPLÉTER : versions exactes — Qwen 3.6 ou Mistral]), hébergés en Europe (principalement Strasbourg et Paris) — ou, en Option B, dans l'infrastructure du client. Sur cette voie, aucune donnée n'est transmise à un fournisseur de modèle tiers ni hors EEE.</w:t>
      </w:r>
    </w:p>
    <w:p>
      <w:pPr>
        <w:pStyle w:val="Compact"/>
        <w:numPr>
          <w:ilvl w:val="0"/>
          <w:numId w:val="1003"/>
        </w:numPr>
      </w:pPr>
      <w:r>
        <w:rPr>
          <w:b/>
          <w:bCs/>
        </w:rPr>
        <w:t xml:space="preserve">Voie de secours.</w:t>
      </w:r>
      <w:r>
        <w:t xml:space="preserve"> </w:t>
      </w:r>
      <w:r>
        <w:t xml:space="preserve">La passerelle OpenRouter (Claude, GPT…) n'est sollicitée qu'en basculement (failover), si la voie primaire est indisponible, avec non-entraînement (« no-train ») ; elle est désactivable par organisation (profil « UE strict »).</w:t>
      </w:r>
    </w:p>
    <w:p>
      <w:pPr>
        <w:pStyle w:val="Compact"/>
        <w:numPr>
          <w:ilvl w:val="0"/>
          <w:numId w:val="1003"/>
        </w:numPr>
      </w:pPr>
      <w:r>
        <w:t xml:space="preserve">Les données transmises au modèle se limitent aux sources sélectionnées par l'utilisateur (minimisation).</w:t>
      </w:r>
    </w:p>
    <w:p>
      <w:pPr>
        <w:pStyle w:val="Compact"/>
        <w:numPr>
          <w:ilvl w:val="0"/>
          <w:numId w:val="1003"/>
        </w:numPr>
      </w:pPr>
      <w:r>
        <w:t xml:space="preserve">Aucune donnée n'est utilisée pour entraîner des modèles propres à OHADJA.</w:t>
      </w:r>
    </w:p>
    <w:p>
      <w:pPr>
        <w:pStyle w:val="Compact"/>
        <w:numPr>
          <w:ilvl w:val="0"/>
          <w:numId w:val="1003"/>
        </w:numPr>
      </w:pPr>
      <w:r>
        <w:t xml:space="preserve">La passerelle LlmGateway assure un basculement multi-configurations par priorité (3 essais, backoff, délai d'expiration 300 s) et une rotation multi-comptes.</w:t>
      </w:r>
    </w:p>
    <w:p>
      <w:pPr>
        <w:pStyle w:val="Compact"/>
        <w:numPr>
          <w:ilvl w:val="0"/>
          <w:numId w:val="1003"/>
        </w:numPr>
      </w:pPr>
      <w:r>
        <w:t xml:space="preserve">Depuis la version 1.7.0, la configuration LLM par organisation est en mode « fail-closed » : une organisation disposant de ses propres configurations n'utilise jamais celles de la plateforme ; les clés sont isolées, chiffrées en base et jamais réaffichées ; les points de terminaison auto-hébergés sont protégés contre le SSRF (voir §3.4).</w:t>
      </w:r>
    </w:p>
    <w:bookmarkEnd w:id="20"/>
    <w:bookmarkEnd w:id="21"/>
    <w:bookmarkStart w:id="26" w:name="Xb15965f655bca0af06f46ea8a870022357096d7"/>
    <w:p>
      <w:pPr>
        <w:pStyle w:val="Heading2"/>
      </w:pPr>
      <w:r>
        <w:t xml:space="preserve">4. Sécurité de l'infrastructure (Option A — SaaS)</w:t>
      </w:r>
    </w:p>
    <w:bookmarkStart w:id="22" w:name="X3ee38e692e1816b83af4739fb65bbeffd7b4765"/>
    <w:p>
      <w:pPr>
        <w:pStyle w:val="Heading3"/>
      </w:pPr>
      <w:r>
        <w:t xml:space="preserve">4.1 Serveur de production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Hébergeur</w:t>
            </w:r>
          </w:p>
        </w:tc>
        <w:tc>
          <w:tcPr/>
          <w:p>
            <w:pPr>
              <w:pStyle w:val="Compact"/>
            </w:pPr>
            <w:r>
              <w:t xml:space="preserve">Hostinger (KVM)</w:t>
            </w:r>
          </w:p>
        </w:tc>
      </w:tr>
      <w:tr>
        <w:tc>
          <w:tcPr/>
          <w:p>
            <w:pPr>
              <w:pStyle w:val="Compact"/>
            </w:pPr>
            <w:r>
              <w:t xml:space="preserve">Localisation</w:t>
            </w:r>
          </w:p>
        </w:tc>
        <w:tc>
          <w:tcPr/>
          <w:p>
            <w:pPr>
              <w:pStyle w:val="Compact"/>
            </w:pPr>
            <w:r>
              <w:t xml:space="preserve">Datacenter de Strasbourg, France</w:t>
            </w:r>
          </w:p>
        </w:tc>
      </w:tr>
      <w:tr>
        <w:tc>
          <w:tcPr/>
          <w:p>
            <w:pPr>
              <w:pStyle w:val="Compact"/>
            </w:pPr>
            <w:r>
              <w:t xml:space="preserve">Système</w:t>
            </w:r>
          </w:p>
        </w:tc>
        <w:tc>
          <w:tcPr/>
          <w:p>
            <w:pPr>
              <w:pStyle w:val="Compact"/>
            </w:pPr>
            <w:r>
              <w:t xml:space="preserve">Debian 12</w:t>
            </w:r>
          </w:p>
        </w:tc>
      </w:tr>
    </w:tbl>
    <w:bookmarkEnd w:id="22"/>
    <w:bookmarkStart w:id="23" w:name="X9323b6b4da646e368e2d369c7d1986feda9b632"/>
    <w:p>
      <w:pPr>
        <w:pStyle w:val="Heading3"/>
      </w:pPr>
      <w:r>
        <w:t xml:space="preserve">4.2 Durcissement système</w:t>
      </w:r>
    </w:p>
    <w:p>
      <w:pPr>
        <w:pStyle w:val="FirstParagraph"/>
      </w:pPr>
      <w:r>
        <w:t xml:space="preserve">Le serveur de production fait l'objet d'un durcissement :</w:t>
      </w:r>
    </w:p>
    <w:p>
      <w:pPr>
        <w:pStyle w:val="Compact"/>
        <w:numPr>
          <w:ilvl w:val="0"/>
          <w:numId w:val="1004"/>
        </w:numPr>
      </w:pPr>
      <w:r>
        <w:t xml:space="preserve">accès d'administration par clé uniquement (aucune authentification par mot de passe) ;</w:t>
      </w:r>
    </w:p>
    <w:p>
      <w:pPr>
        <w:pStyle w:val="Compact"/>
        <w:numPr>
          <w:ilvl w:val="0"/>
          <w:numId w:val="1004"/>
        </w:numPr>
      </w:pPr>
      <w:r>
        <w:t xml:space="preserve">pare-feu en liste blanche (seuls les flux strictement nécessaires sont autorisés) ;</w:t>
      </w:r>
    </w:p>
    <w:p>
      <w:pPr>
        <w:pStyle w:val="Compact"/>
        <w:numPr>
          <w:ilvl w:val="0"/>
          <w:numId w:val="1004"/>
        </w:numPr>
      </w:pPr>
      <w:r>
        <w:t xml:space="preserve">bannissement automatique des tentatives d'accès répétées ;</w:t>
      </w:r>
    </w:p>
    <w:p>
      <w:pPr>
        <w:pStyle w:val="Compact"/>
        <w:numPr>
          <w:ilvl w:val="0"/>
          <w:numId w:val="1004"/>
        </w:numPr>
      </w:pPr>
      <w:r>
        <w:t xml:space="preserve">mises à jour de sécurité automatiques.</w:t>
      </w:r>
    </w:p>
    <w:p>
      <w:pPr>
        <w:pStyle w:val="FirstParagraph"/>
      </w:pPr>
      <w:r>
        <w:rPr>
          <w:b/>
          <w:bCs/>
        </w:rPr>
        <w:t xml:space="preserve">Chiffrement at-rest.</w:t>
      </w:r>
      <w:r>
        <w:t xml:space="preserve"> </w:t>
      </w:r>
      <w:r>
        <w:t xml:space="preserve">Les sauvegardes sont chiffrées avant externalisation (age, X25519 + ChaCha20-Poly1305) ; le chiffrement du disque système dépend de l'offre du datacenter, une mise à niveau (LUKS/gocryptfs) étant planifiée.</w:t>
      </w:r>
    </w:p>
    <w:bookmarkEnd w:id="23"/>
    <w:bookmarkStart w:id="24" w:name="X333af8c2cfdd5861ddf9fa7b94ecf1abcddcc36"/>
    <w:p>
      <w:pPr>
        <w:pStyle w:val="Heading3"/>
      </w:pPr>
      <w:r>
        <w:t xml:space="preserve">4.3 Terminaison TLS et en-têtes de sécurité</w:t>
      </w:r>
    </w:p>
    <w:p>
      <w:pPr>
        <w:pStyle w:val="FirstParagraph"/>
      </w:pPr>
      <w:r>
        <w:t xml:space="preserve">Le reverse proxy</w:t>
      </w:r>
      <w:r>
        <w:t xml:space="preserve"> </w:t>
      </w:r>
      <w:r>
        <w:rPr>
          <w:b/>
          <w:bCs/>
        </w:rPr>
        <w:t xml:space="preserve">Traefik v3.6</w:t>
      </w:r>
      <w:r>
        <w:t xml:space="preserve"> </w:t>
      </w:r>
      <w:r>
        <w:t xml:space="preserve">assure :</w:t>
      </w:r>
    </w:p>
    <w:p>
      <w:pPr>
        <w:pStyle w:val="Compact"/>
        <w:numPr>
          <w:ilvl w:val="0"/>
          <w:numId w:val="1005"/>
        </w:numPr>
      </w:pPr>
      <w:r>
        <w:t xml:space="preserve">la redirection 80 → 443 ;</w:t>
      </w:r>
    </w:p>
    <w:p>
      <w:pPr>
        <w:pStyle w:val="Compact"/>
        <w:numPr>
          <w:ilvl w:val="0"/>
          <w:numId w:val="1005"/>
        </w:numPr>
      </w:pPr>
      <w:r>
        <w:t xml:space="preserve">des certificats Let's Encrypt (EC384) ;</w:t>
      </w:r>
    </w:p>
    <w:p>
      <w:pPr>
        <w:pStyle w:val="Compact"/>
        <w:numPr>
          <w:ilvl w:val="0"/>
          <w:numId w:val="1005"/>
        </w:numPr>
      </w:pPr>
      <w:r>
        <w:t xml:space="preserve">TLS ≥ 1.2 avec suites fortes ;</w:t>
      </w:r>
    </w:p>
    <w:p>
      <w:pPr>
        <w:pStyle w:val="Compact"/>
        <w:numPr>
          <w:ilvl w:val="0"/>
          <w:numId w:val="1005"/>
        </w:numPr>
      </w:pPr>
      <w:r>
        <w:t xml:space="preserve">HSTS (1 an + preload), nosniff, referrer-policy ;</w:t>
      </w:r>
    </w:p>
    <w:p>
      <w:pPr>
        <w:pStyle w:val="Compact"/>
        <w:numPr>
          <w:ilvl w:val="0"/>
          <w:numId w:val="1005"/>
        </w:numPr>
      </w:pPr>
      <w:r>
        <w:t xml:space="preserve">un tableau de bord non exposé.</w:t>
      </w:r>
    </w:p>
    <w:bookmarkEnd w:id="24"/>
    <w:bookmarkStart w:id="25" w:name="X1fc91ba28b7960e5a83d714ea59d91ad806451b"/>
    <w:p>
      <w:pPr>
        <w:pStyle w:val="Heading3"/>
      </w:pPr>
      <w:r>
        <w:t xml:space="preserve">4.4 Serveurs d'inférence IA (voie primaire)</w:t>
      </w:r>
    </w:p>
    <w:p>
      <w:pPr>
        <w:pStyle w:val="FirstParagraph"/>
      </w:pPr>
      <w:r>
        <w:t xml:space="preserve">Les fonctions d'IA reposent, par défaut, sur des serveurs GPU maîtrisés par OHADJA, hébergés en Europe (principalement Strasbourg et Paris), exécutant vLLM avec des modèles open-weights ([À COMPLÉTER : versions exactes — Qwen 3.6 ou Mistral]). Ces serveurs bénéficient d'un durcissement équivalent à celui du serveur de production (accès par clé, pare-feu, TLS en transit). Aucune donnée client n'y est conservée au-delà du traitement de la requête, et aucune donnée n'est transmise à un fournisseur de modèle tiers ni hors EEE sur cette voie. Le recours à la passerelle OpenRouter est strictement limité au secours (voir §3.5).</w:t>
      </w:r>
    </w:p>
    <w:bookmarkEnd w:id="25"/>
    <w:bookmarkEnd w:id="26"/>
    <w:bookmarkStart w:id="30" w:name="X429e3a74501967d6b72ca1047d96cad803e8ba1"/>
    <w:p>
      <w:pPr>
        <w:pStyle w:val="Heading2"/>
      </w:pPr>
      <w:r>
        <w:t xml:space="preserve">5. Sauvegardes et continuité d'activité</w:t>
      </w:r>
    </w:p>
    <w:bookmarkStart w:id="27" w:name="X7c61aed5f704c076a1d0268c1aab2707f274956"/>
    <w:p>
      <w:pPr>
        <w:pStyle w:val="Heading3"/>
      </w:pPr>
      <w:r>
        <w:t xml:space="preserve">5.1 Sauvegardes (Option 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Fréquence</w:t>
            </w:r>
          </w:p>
        </w:tc>
        <w:tc>
          <w:tcPr/>
          <w:p>
            <w:pPr>
              <w:pStyle w:val="Compact"/>
            </w:pPr>
            <w:r>
              <w:t xml:space="preserve">Quotidienne</w:t>
            </w:r>
          </w:p>
        </w:tc>
      </w:tr>
      <w:tr>
        <w:tc>
          <w:tcPr/>
          <w:p>
            <w:pPr>
              <w:pStyle w:val="Compact"/>
            </w:pPr>
            <w:r>
              <w:t xml:space="preserve">Chiffrement</w:t>
            </w:r>
          </w:p>
        </w:tc>
        <w:tc>
          <w:tcPr/>
          <w:p>
            <w:pPr>
              <w:pStyle w:val="Compact"/>
            </w:pPr>
            <w:r>
              <w:t xml:space="preserve">age (X25519 + ChaCha20-Poly1305), avant externalisation</w:t>
            </w:r>
          </w:p>
        </w:tc>
      </w:tr>
      <w:tr>
        <w:tc>
          <w:tcPr/>
          <w:p>
            <w:pPr>
              <w:pStyle w:val="Compact"/>
            </w:pPr>
            <w:r>
              <w:t xml:space="preserve">Externalisation</w:t>
            </w:r>
          </w:p>
        </w:tc>
        <w:tc>
          <w:tcPr/>
          <w:p>
            <w:pPr>
              <w:pStyle w:val="Compact"/>
            </w:pPr>
            <w:r>
              <w:t xml:space="preserve">rclone vers Scaleway (France)</w:t>
            </w:r>
          </w:p>
        </w:tc>
      </w:tr>
      <w:tr>
        <w:tc>
          <w:tcPr/>
          <w:p>
            <w:pPr>
              <w:pStyle w:val="Compact"/>
            </w:pPr>
            <w:r>
              <w:t xml:space="preserve">Rétention</w:t>
            </w:r>
          </w:p>
        </w:tc>
        <w:tc>
          <w:tcPr/>
          <w:p>
            <w:pPr>
              <w:pStyle w:val="Compact"/>
            </w:pPr>
            <w:r>
              <w:t xml:space="preserve">90 jours (sauvegardes complètes) / 30 jours (par organisation)</w:t>
            </w:r>
          </w:p>
        </w:tc>
      </w:tr>
      <w:tr>
        <w:tc>
          <w:tcPr/>
          <w:p>
            <w:pPr>
              <w:pStyle w:val="Compact"/>
            </w:pPr>
            <w:r>
              <w:t xml:space="preserve">Détention des clés</w:t>
            </w:r>
          </w:p>
        </w:tc>
        <w:tc>
          <w:tcPr/>
          <w:p>
            <w:pPr>
              <w:pStyle w:val="Compact"/>
            </w:pPr>
            <w:r>
              <w:t xml:space="preserve">OHADJA (l'hébergeur du stockage n'a accès qu'à des données chiffrées)</w:t>
            </w:r>
          </w:p>
        </w:tc>
      </w:tr>
    </w:tbl>
    <w:bookmarkEnd w:id="27"/>
    <w:bookmarkStart w:id="28" w:name="X3b2cbedb936f1bb04419804a258caf86a2b8124"/>
    <w:p>
      <w:pPr>
        <w:pStyle w:val="Heading3"/>
      </w:pPr>
      <w:r>
        <w:t xml:space="preserve">5.2 Objectifs de reprise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Indicateur</w:t>
            </w:r>
          </w:p>
        </w:tc>
        <w:tc>
          <w:tcPr/>
          <w:p>
            <w:pPr>
              <w:pStyle w:val="Compact"/>
            </w:pPr>
            <w:r>
              <w:t xml:space="preserve">Objectif</w:t>
            </w:r>
          </w:p>
        </w:tc>
      </w:tr>
      <w:tr>
        <w:tc>
          <w:tcPr/>
          <w:p>
            <w:pPr>
              <w:pStyle w:val="Compact"/>
            </w:pPr>
            <w:r>
              <w:t xml:space="preserve">RPO (perte de données maximale)</w:t>
            </w:r>
          </w:p>
        </w:tc>
        <w:tc>
          <w:tcPr/>
          <w:p>
            <w:pPr>
              <w:pStyle w:val="Compact"/>
            </w:pPr>
            <w:r>
              <w:t xml:space="preserve">24 heures</w:t>
            </w:r>
          </w:p>
        </w:tc>
      </w:tr>
      <w:tr>
        <w:tc>
          <w:tcPr/>
          <w:p>
            <w:pPr>
              <w:pStyle w:val="Compact"/>
            </w:pPr>
            <w:r>
              <w:t xml:space="preserve">RTO (temps de rétablissement)</w:t>
            </w:r>
          </w:p>
        </w:tc>
        <w:tc>
          <w:tcPr/>
          <w:p>
            <w:pPr>
              <w:pStyle w:val="Compact"/>
            </w:pPr>
            <w:r>
              <w:t xml:space="preserve">4 heures</w:t>
            </w:r>
          </w:p>
        </w:tc>
      </w:tr>
    </w:tbl>
    <w:p>
      <w:pPr>
        <w:pStyle w:val="BodyText"/>
      </w:pPr>
      <w:r>
        <w:t xml:space="preserve">Ces valeurs sont des objectifs d'exploitation destinés à cadrer les attentes contractuelles et les plans de continuité du client.</w:t>
      </w:r>
    </w:p>
    <w:bookmarkEnd w:id="28"/>
    <w:bookmarkStart w:id="29" w:name="X6ec2d5531b9d18fb8da93a92377cdeea5079b21"/>
    <w:p>
      <w:pPr>
        <w:pStyle w:val="Heading3"/>
      </w:pPr>
      <w:r>
        <w:t xml:space="preserve">5.3 Test de reprise (DR drill)</w:t>
      </w:r>
    </w:p>
    <w:p>
      <w:pPr>
        <w:pStyle w:val="FirstParagraph"/>
      </w:pPr>
      <w:r>
        <w:t xml:space="preserve">Un exercice de reprise a été réalisé : la restauration a été</w:t>
      </w:r>
      <w:r>
        <w:t xml:space="preserve"> </w:t>
      </w:r>
      <w:r>
        <w:rPr>
          <w:b/>
          <w:bCs/>
        </w:rPr>
        <w:t xml:space="preserve">vérifiée bit à bit</w:t>
      </w:r>
      <w:r>
        <w:t xml:space="preserve">. Avant toute restauration, un</w:t>
      </w:r>
      <w:r>
        <w:t xml:space="preserve"> </w:t>
      </w:r>
      <w:r>
        <w:rPr>
          <w:b/>
          <w:bCs/>
        </w:rPr>
        <w:t xml:space="preserve">snapshot de sécurité</w:t>
      </w:r>
      <w:r>
        <w:t xml:space="preserve"> </w:t>
      </w:r>
      <w:r>
        <w:t xml:space="preserve">de l'état courant est réalisé afin de limiter le risque d'écrasement irréversible. Les sauvegardes et restaurations sont</w:t>
      </w:r>
      <w:r>
        <w:t xml:space="preserve"> </w:t>
      </w:r>
      <w:r>
        <w:rPr>
          <w:b/>
          <w:bCs/>
        </w:rPr>
        <w:t xml:space="preserve">granulaires par organisation</w:t>
      </w:r>
      <w:r>
        <w:t xml:space="preserve">, ce qui permet une reprise ciblée sans restaurer l'ensemble de la plateforme.</w:t>
      </w:r>
    </w:p>
    <w:p>
      <w:pPr>
        <w:pStyle w:val="BodyText"/>
      </w:pPr>
      <w:r>
        <w:t xml:space="preserve">En Option B, les sauvegardes et la continuité relèvent de la responsabilité du client, sauf mission confiée à OHADJA.</w:t>
      </w:r>
    </w:p>
    <w:bookmarkEnd w:id="29"/>
    <w:bookmarkEnd w:id="30"/>
    <w:bookmarkStart w:id="31" w:name="Xa61fb44d7dda8f6cdc5915a520a14ae8ff0364f"/>
    <w:p>
      <w:pPr>
        <w:pStyle w:val="Heading2"/>
      </w:pPr>
      <w:r>
        <w:t xml:space="preserve">6. Supervision</w:t>
      </w:r>
    </w:p>
    <w:p>
      <w:pPr>
        <w:pStyle w:val="FirstParagraph"/>
      </w:pPr>
      <w:r>
        <w:t xml:space="preserve">Une supervision 24/7 couvre la file d'attente, l'espace disque, les certificats et les dépendances tierces. Elle s'appuie sur :</w:t>
      </w:r>
    </w:p>
    <w:p>
      <w:pPr>
        <w:pStyle w:val="Compact"/>
        <w:numPr>
          <w:ilvl w:val="0"/>
          <w:numId w:val="1006"/>
        </w:numPr>
      </w:pPr>
      <w:r>
        <w:t xml:space="preserve">des alertes Slack et email, avec un digest quotidien ;</w:t>
      </w:r>
    </w:p>
    <w:p>
      <w:pPr>
        <w:pStyle w:val="Compact"/>
        <w:numPr>
          <w:ilvl w:val="0"/>
          <w:numId w:val="1006"/>
        </w:numPr>
      </w:pPr>
      <w:r>
        <w:t xml:space="preserve">un watchdog de reprise des traitements bloqués (intervalle de 5 minutes) ;</w:t>
      </w:r>
    </w:p>
    <w:p>
      <w:pPr>
        <w:pStyle w:val="Compact"/>
        <w:numPr>
          <w:ilvl w:val="0"/>
          <w:numId w:val="1006"/>
        </w:numPr>
      </w:pPr>
      <w:r>
        <w:t xml:space="preserve">un bouton d'annulation manuel côté utilisateur.</w:t>
      </w:r>
    </w:p>
    <w:bookmarkEnd w:id="31"/>
    <w:bookmarkStart w:id="34" w:name="Xfed5084fef9fc07d4fdd5799e2ec7ab60be0747"/>
    <w:p>
      <w:pPr>
        <w:pStyle w:val="Heading2"/>
      </w:pPr>
      <w:r>
        <w:t xml:space="preserve">7. Gestion des vulnérabilités et des mises à jour</w:t>
      </w:r>
    </w:p>
    <w:bookmarkStart w:id="32" w:name="X0286828e26f5d367fce186802daceb668a3e05d"/>
    <w:p>
      <w:pPr>
        <w:pStyle w:val="Heading3"/>
      </w:pPr>
      <w:r>
        <w:t xml:space="preserve">7.1 Gestion des vulnérabilités</w:t>
      </w:r>
    </w:p>
    <w:p>
      <w:pPr>
        <w:pStyle w:val="FirstParagraph"/>
      </w:pPr>
      <w:r>
        <w:t xml:space="preserve">OHADJA applique une gestion des vulnérabilités sur les composants qu'elle contrôle : framework applicatif, dépendances, conteneurs, images Docker, serveur applicatif, configuration de sécurité et bibliothèques critiques. Les correctifs sont priorisés selon leur criticité, leur exploitabilité et leur exposition.</w:t>
      </w:r>
    </w:p>
    <w:bookmarkEnd w:id="32"/>
    <w:bookmarkStart w:id="33" w:name="X7e81903b87f3500db88532af11bd4fd327c0d08"/>
    <w:p>
      <w:pPr>
        <w:pStyle w:val="Heading3"/>
      </w:pPr>
      <w:r>
        <w:t xml:space="preserve">7.2 Déploiement et rollback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Mesure</w:t>
            </w:r>
          </w:p>
        </w:tc>
        <w:tc>
          <w:tcPr/>
          <w:p>
            <w:pPr>
              <w:pStyle w:val="Compact"/>
            </w:pPr>
            <w:r>
              <w:t xml:space="preserve">Détail</w:t>
            </w:r>
          </w:p>
        </w:tc>
      </w:tr>
      <w:tr>
        <w:tc>
          <w:tcPr/>
          <w:p>
            <w:pPr>
              <w:pStyle w:val="Compact"/>
            </w:pPr>
            <w:r>
              <w:t xml:space="preserve">Mode de déploiement</w:t>
            </w:r>
          </w:p>
        </w:tc>
        <w:tc>
          <w:tcPr/>
          <w:p>
            <w:pPr>
              <w:pStyle w:val="Compact"/>
            </w:pPr>
            <w:r>
              <w:t xml:space="preserve">Uniquement par tags de version applicatifs</w:t>
            </w:r>
          </w:p>
        </w:tc>
      </w:tr>
      <w:tr>
        <w:tc>
          <w:tcPr/>
          <w:p>
            <w:pPr>
              <w:pStyle w:val="Compact"/>
            </w:pPr>
            <w:r>
              <w:t xml:space="preserve">Contrôle post-déploiement</w:t>
            </w:r>
          </w:p>
        </w:tc>
        <w:tc>
          <w:tcPr/>
          <w:p>
            <w:pPr>
              <w:pStyle w:val="Compact"/>
            </w:pPr>
            <w:r>
              <w:t xml:space="preserve">Health-check applicatif</w:t>
            </w:r>
          </w:p>
        </w:tc>
      </w:tr>
      <w:tr>
        <w:tc>
          <w:tcPr/>
          <w:p>
            <w:pPr>
              <w:pStyle w:val="Compact"/>
            </w:pPr>
            <w:r>
              <w:t xml:space="preserve">Retour arrière (rollback)</w:t>
            </w:r>
          </w:p>
        </w:tc>
        <w:tc>
          <w:tcPr/>
          <w:p>
            <w:pPr>
              <w:pStyle w:val="Compact"/>
            </w:pPr>
            <w:r>
              <w:t xml:space="preserve">Redéploiement du tag précédent</w:t>
            </w:r>
          </w:p>
        </w:tc>
      </w:tr>
    </w:tbl>
    <w:p>
      <w:pPr>
        <w:pStyle w:val="BodyText"/>
      </w:pPr>
      <w:r>
        <w:t xml:space="preserve">En Option B, le déploiement effectif des mises à jour, correctifs et configurations de sécurité incombe au client, sauf mission de maintenance confiée à OHADJA.</w:t>
      </w:r>
    </w:p>
    <w:bookmarkEnd w:id="33"/>
    <w:bookmarkEnd w:id="34"/>
    <w:bookmarkStart w:id="35" w:name="X008ec0b5739a66480a84ee0ab6d8781de409d06"/>
    <w:p>
      <w:pPr>
        <w:pStyle w:val="Heading2"/>
      </w:pPr>
      <w:r>
        <w:t xml:space="preserve">8. Certifications — état réel</w:t>
      </w:r>
    </w:p>
    <w:p>
      <w:pPr>
        <w:pStyle w:val="FirstParagraph"/>
      </w:pPr>
      <w:r>
        <w:t xml:space="preserve">À la date du présent dossier, aucune certification de sécurité n'est obtenue. L'état d'avancement est le suivant :</w:t>
      </w:r>
    </w:p>
    <w:p>
      <w:pPr>
        <w:pStyle w:val="Compact"/>
        <w:numPr>
          <w:ilvl w:val="0"/>
          <w:numId w:val="1007"/>
        </w:numPr>
      </w:pPr>
      <w:r>
        <w:rPr>
          <w:b/>
          <w:bCs/>
        </w:rPr>
        <w:t xml:space="preserve">ISO/IEC 27001</w:t>
      </w:r>
      <w:r>
        <w:t xml:space="preserve"> </w:t>
      </w:r>
      <w:r>
        <w:t xml:space="preserve">: démarche structurée engagée, socle de 16 politiques de management de la sécurité de l'information formalisé, certification visée début 2027 ;</w:t>
      </w:r>
    </w:p>
    <w:p>
      <w:pPr>
        <w:pStyle w:val="Compact"/>
        <w:numPr>
          <w:ilvl w:val="0"/>
          <w:numId w:val="1007"/>
        </w:numPr>
      </w:pPr>
      <w:r>
        <w:rPr>
          <w:b/>
          <w:bCs/>
        </w:rPr>
        <w:t xml:space="preserve">SOC 2 Type I</w:t>
      </w:r>
      <w:r>
        <w:t xml:space="preserve"> </w:t>
      </w:r>
      <w:r>
        <w:t xml:space="preserve">: audit planifié en 2026 ;</w:t>
      </w:r>
    </w:p>
    <w:p>
      <w:pPr>
        <w:pStyle w:val="Compact"/>
        <w:numPr>
          <w:ilvl w:val="0"/>
          <w:numId w:val="1007"/>
        </w:numPr>
      </w:pPr>
      <w:r>
        <w:rPr>
          <w:b/>
          <w:bCs/>
        </w:rPr>
        <w:t xml:space="preserve">HDS</w:t>
      </w:r>
      <w:r>
        <w:t xml:space="preserve"> </w:t>
      </w:r>
      <w:r>
        <w:t xml:space="preserve">: à l'étude, pertinent uniquement en présence de données de santé ;</w:t>
      </w:r>
    </w:p>
    <w:p>
      <w:pPr>
        <w:pStyle w:val="Compact"/>
        <w:numPr>
          <w:ilvl w:val="0"/>
          <w:numId w:val="1007"/>
        </w:numPr>
      </w:pPr>
      <w:r>
        <w:rPr>
          <w:b/>
          <w:bCs/>
        </w:rPr>
        <w:t xml:space="preserve">SecNumCloud</w:t>
      </w:r>
      <w:r>
        <w:t xml:space="preserve"> </w:t>
      </w:r>
      <w:r>
        <w:t xml:space="preserve">: en veille, non visé à court terme.</w:t>
      </w:r>
    </w:p>
    <w:p>
      <w:pPr>
        <w:pStyle w:val="FirstParagraph"/>
      </w:pPr>
      <w:r>
        <w:t xml:space="preserve">Ces éléments sont mentionnés à titre informatif et ne constituent pas des engagements de résultat.</w:t>
      </w:r>
    </w:p>
    <w:bookmarkEnd w:id="35"/>
    <w:bookmarkStart w:id="36" w:name="Xd966ab465c19b2c4843fcc49534b4ee79f61bee"/>
    <w:p>
      <w:pPr>
        <w:pStyle w:val="Heading2"/>
      </w:pPr>
      <w:r>
        <w:t xml:space="preserve">9. Synoptique d'architecture</w:t>
      </w:r>
    </w:p>
    <w:p>
      <w:pPr>
        <w:pStyle w:val="FirstParagraph"/>
      </w:pPr>
      <w:r>
        <w:t xml:space="preserve">Le schéma d'architecture détaillé (services et flux) est remis au format Visio (.vsdx) lors de la phase d'implantation, sur la base des blocs figurant aux sections 2 et 4 du présent document.</w:t>
      </w:r>
    </w:p>
    <w:p>
      <w:r>
        <w:pict>
          <v:rect style="width:0;height:1.5pt" o:hralign="center" o:hrstd="t" o:hr="t"/>
        </w:pict>
      </w:r>
    </w:p>
    <w:p>
      <w:pPr>
        <w:pStyle w:val="FirstParagraph"/>
      </w:pPr>
      <w:r>
        <w:rPr>
          <w:i/>
          <w:iCs/>
        </w:rPr>
        <w:t xml:space="preserve">Version publique expurgée. La version complète (TRB-CONF-01.06, classée confidentielle) est disponible sur demande, sous accord de confidentialité.</w:t>
      </w:r>
    </w:p>
    <w:p>
      <w:r>
        <w:br w:type="page"/>
      </w:r>
    </w:p>
    <w:bookmarkEnd w:id="36"/>
    <w:bookmarkEnd w:id="37"/>
    <w:bookmarkStart w:id="117" w:name="Xeb2a81698e02fa93579edfbc08ddbad18daa057"/>
    <w:p>
      <w:pPr>
        <w:pStyle w:val="Heading1"/>
      </w:pPr>
      <w:r>
        <w:t xml:space="preserve">Dossier de Conception Détaillée (DCD) — Déploiement on-premise de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Référence</w:t>
            </w:r>
          </w:p>
        </w:tc>
        <w:tc>
          <w:tcPr/>
          <w:p>
            <w:pPr>
              <w:pStyle w:val="Compact"/>
            </w:pPr>
            <w:r>
              <w:t xml:space="preserve">OHA-ONPREM-DCD-2026-001</w:t>
            </w:r>
          </w:p>
        </w:tc>
      </w:tr>
      <w:tr>
        <w:tc>
          <w:tcPr/>
          <w:p>
            <w:pPr>
              <w:pStyle w:val="Compact"/>
            </w:pPr>
            <w:r>
              <w:rPr>
                <w:b/>
                <w:bCs/>
              </w:rPr>
              <w:t xml:space="preserve">Version</w:t>
            </w:r>
          </w:p>
        </w:tc>
        <w:tc>
          <w:tcPr/>
          <w:p>
            <w:pPr>
              <w:pStyle w:val="Compact"/>
            </w:pPr>
            <w:r>
              <w:t xml:space="preserve">1.0</w:t>
            </w:r>
          </w:p>
        </w:tc>
      </w:tr>
      <w:tr>
        <w:tc>
          <w:tcPr/>
          <w:p>
            <w:pPr>
              <w:pStyle w:val="Compact"/>
            </w:pPr>
            <w:r>
              <w:rPr>
                <w:b/>
                <w:bCs/>
              </w:rPr>
              <w:t xml:space="preserve">Date</w:t>
            </w:r>
          </w:p>
        </w:tc>
        <w:tc>
          <w:tcPr/>
          <w:p>
            <w:pPr>
              <w:pStyle w:val="Compact"/>
            </w:pPr>
            <w:r>
              <w:t xml:space="preserve">2026-07-24</w:t>
            </w:r>
          </w:p>
        </w:tc>
      </w:tr>
      <w:tr>
        <w:tc>
          <w:tcPr/>
          <w:p>
            <w:pPr>
              <w:pStyle w:val="Compact"/>
            </w:pPr>
            <w:r>
              <w:rPr>
                <w:b/>
                <w:bCs/>
              </w:rPr>
              <w:t xml:space="preserve">Rédacteur / éditeur</w:t>
            </w:r>
          </w:p>
        </w:tc>
        <w:tc>
          <w:tcPr/>
          <w:p>
            <w:pPr>
              <w:pStyle w:val="Compact"/>
            </w:pPr>
            <w:r>
              <w:t xml:space="preserve">OHADJA — éditeur et mainteneur du logiciel TranscribIA — 60 rue François 1er, 75008 Paris</w:t>
            </w:r>
          </w:p>
        </w:tc>
      </w:tr>
      <w:tr>
        <w:tc>
          <w:tcPr/>
          <w:p>
            <w:pPr>
              <w:pStyle w:val="Compact"/>
            </w:pPr>
            <w:r>
              <w:rPr>
                <w:b/>
                <w:bCs/>
              </w:rPr>
              <w:t xml:space="preserve">Intégrateur / distributeur</w:t>
            </w:r>
          </w:p>
        </w:tc>
        <w:tc>
          <w:tcPr/>
          <w:p>
            <w:pPr>
              <w:pStyle w:val="Compact"/>
            </w:pPr>
            <w:r>
              <w:t xml:space="preserve">Votre intégrateur (à préciser selon le projet)</w:t>
            </w:r>
          </w:p>
        </w:tc>
      </w:tr>
      <w:tr>
        <w:tc>
          <w:tcPr/>
          <w:p>
            <w:pPr>
              <w:pStyle w:val="Compact"/>
            </w:pPr>
            <w:r>
              <w:rPr>
                <w:b/>
                <w:bCs/>
              </w:rPr>
              <w:t xml:space="preserve">Revendeur commercial</w:t>
            </w:r>
          </w:p>
        </w:tc>
        <w:tc>
          <w:tcPr/>
          <w:p>
            <w:pPr>
              <w:pStyle w:val="Compact"/>
            </w:pPr>
            <w:r>
              <w:t xml:space="preserve">AMBASSADIA SARL (Monaco et France) — rôle commercial uniquement, sans exploitation ni accès aux données de production</w:t>
            </w:r>
          </w:p>
        </w:tc>
      </w:tr>
      <w:tr>
        <w:tc>
          <w:tcPr/>
          <w:p>
            <w:pPr>
              <w:pStyle w:val="Compact"/>
            </w:pPr>
            <w:r>
              <w:rPr>
                <w:b/>
                <w:bCs/>
              </w:rPr>
              <w:t xml:space="preserve">Destinataire</w:t>
            </w:r>
          </w:p>
        </w:tc>
        <w:tc>
          <w:tcPr/>
          <w:p>
            <w:pPr>
              <w:pStyle w:val="Compact"/>
            </w:pPr>
            <w:r>
              <w:t xml:space="preserve">Client — Direction des Systèmes d'Information (à personnaliser lors du projet)</w:t>
            </w:r>
          </w:p>
        </w:tc>
      </w:tr>
      <w:tr>
        <w:tc>
          <w:tcPr/>
          <w:p>
            <w:pPr>
              <w:pStyle w:val="Compact"/>
            </w:pPr>
            <w:r>
              <w:rPr>
                <w:b/>
                <w:bCs/>
              </w:rPr>
              <w:t xml:space="preserve">Classification</w:t>
            </w:r>
          </w:p>
        </w:tc>
        <w:tc>
          <w:tcPr/>
          <w:p>
            <w:pPr>
              <w:pStyle w:val="Compact"/>
            </w:pPr>
            <w:r>
              <w:t xml:space="preserve">Public — document type, adapté lors de chaque projet d'implantation</w:t>
            </w:r>
          </w:p>
        </w:tc>
      </w:tr>
    </w:tbl>
    <w:p>
      <w:pPr>
        <w:pStyle w:val="BlockText"/>
      </w:pPr>
      <w:r>
        <w:t xml:space="preserve">Ce document est un</w:t>
      </w:r>
      <w:r>
        <w:t xml:space="preserve"> </w:t>
      </w:r>
      <w:r>
        <w:rPr>
          <w:b/>
          <w:bCs/>
        </w:rPr>
        <w:t xml:space="preserve">modèle générique</w:t>
      </w:r>
      <w:r>
        <w:t xml:space="preserve"> </w:t>
      </w:r>
      <w:r>
        <w:t xml:space="preserve">de conception détaillée pour le déploiement on-premise de la plateforme TranscribIA sur deux salles serveurs du Client (« Salle A », site principal, et « Salle B », site de secours). Il est</w:t>
      </w:r>
      <w:r>
        <w:t xml:space="preserve"> </w:t>
      </w:r>
      <w:r>
        <w:rPr>
          <w:b/>
          <w:bCs/>
        </w:rPr>
        <w:t xml:space="preserve">adapté lors de chaque projet d'implantation</w:t>
      </w:r>
      <w:r>
        <w:t xml:space="preserve"> </w:t>
      </w:r>
      <w:r>
        <w:t xml:space="preserve">aux spécificités du site. Les éléments propres au site (adressage IP, numéros de VLAN, emplacements en baie, matériel définitif, noms réels des salles) sont signalés par les marqueurs</w:t>
      </w:r>
      <w:r>
        <w:t xml:space="preserve"> </w:t>
      </w:r>
      <w:r>
        <w:rPr>
          <w:rStyle w:val="VerbatimChar"/>
        </w:rPr>
        <w:t xml:space="preserve">[À RENSEIGNER avec la DSI du Client]</w:t>
      </w:r>
      <w:r>
        <w:t xml:space="preserve"> </w:t>
      </w:r>
      <w:r>
        <w:t xml:space="preserve">ou</w:t>
      </w:r>
      <w:r>
        <w:t xml:space="preserve"> </w:t>
      </w:r>
      <w:r>
        <w:rPr>
          <w:rStyle w:val="VerbatimChar"/>
        </w:rPr>
        <w:t xml:space="preserve">[À COMPLÉTER : …]</w:t>
      </w:r>
      <w:r>
        <w:t xml:space="preserve">. Les choix d'architecture (actif/secours, réplication, objectifs RPO/RTO) sont</w:t>
      </w:r>
      <w:r>
        <w:t xml:space="preserve"> </w:t>
      </w:r>
      <w:r>
        <w:rPr>
          <w:b/>
          <w:bCs/>
        </w:rPr>
        <w:t xml:space="preserve">des propositions à valider lors de la phase d'implantation et de recette</w:t>
      </w:r>
      <w:r>
        <w:t xml:space="preserve">.</w:t>
      </w:r>
    </w:p>
    <w:p>
      <w:r>
        <w:pict>
          <v:rect style="width:0;height:1.5pt" o:hralign="center" o:hrstd="t" o:hr="t"/>
        </w:pict>
      </w:r>
    </w:p>
    <w:bookmarkStart w:id="38" w:name="table-des-matières"/>
    <w:p>
      <w:pPr>
        <w:pStyle w:val="Heading2"/>
      </w:pPr>
      <w:r>
        <w:t xml:space="preserve">Table des matières</w:t>
      </w:r>
    </w:p>
    <w:p>
      <w:pPr>
        <w:pStyle w:val="Compact"/>
        <w:numPr>
          <w:ilvl w:val="0"/>
          <w:numId w:val="1008"/>
        </w:numPr>
      </w:pPr>
      <w:r>
        <w:t xml:space="preserve">Objet et périmètre</w:t>
      </w:r>
    </w:p>
    <w:p>
      <w:pPr>
        <w:pStyle w:val="Compact"/>
        <w:numPr>
          <w:ilvl w:val="0"/>
          <w:numId w:val="1008"/>
        </w:numPr>
      </w:pPr>
      <w:r>
        <w:t xml:space="preserve">Architecture de haut niveau (technico-fonctionnelle et sécurité)</w:t>
      </w:r>
    </w:p>
    <w:p>
      <w:pPr>
        <w:pStyle w:val="Compact"/>
        <w:numPr>
          <w:ilvl w:val="0"/>
          <w:numId w:val="1008"/>
        </w:numPr>
      </w:pPr>
      <w:r>
        <w:t xml:space="preserve">Architecture de bas niveau (configurations, fonctions implémentées, synoptique de liaison)</w:t>
      </w:r>
    </w:p>
    <w:p>
      <w:pPr>
        <w:pStyle w:val="Compact"/>
        <w:numPr>
          <w:ilvl w:val="0"/>
          <w:numId w:val="1008"/>
        </w:numPr>
      </w:pPr>
      <w:r>
        <w:t xml:space="preserve">Synoptique détaillé de l'architecture</w:t>
      </w:r>
    </w:p>
    <w:p>
      <w:pPr>
        <w:pStyle w:val="Compact"/>
        <w:numPr>
          <w:ilvl w:val="0"/>
          <w:numId w:val="1008"/>
        </w:numPr>
      </w:pPr>
      <w:r>
        <w:t xml:space="preserve">Spécifications techniques des matériels proposés</w:t>
      </w:r>
    </w:p>
    <w:p>
      <w:pPr>
        <w:pStyle w:val="Compact"/>
        <w:numPr>
          <w:ilvl w:val="0"/>
          <w:numId w:val="1008"/>
        </w:numPr>
      </w:pPr>
      <w:r>
        <w:t xml:space="preserve">Raccordement réseau des matériels</w:t>
      </w:r>
    </w:p>
    <w:p>
      <w:pPr>
        <w:pStyle w:val="Compact"/>
        <w:numPr>
          <w:ilvl w:val="0"/>
          <w:numId w:val="1008"/>
        </w:numPr>
      </w:pPr>
      <w:r>
        <w:t xml:space="preserve">Schéma réseau de niveau 1 (global et par salle)</w:t>
      </w:r>
    </w:p>
    <w:p>
      <w:pPr>
        <w:pStyle w:val="Compact"/>
        <w:numPr>
          <w:ilvl w:val="0"/>
          <w:numId w:val="1008"/>
        </w:numPr>
      </w:pPr>
      <w:r>
        <w:t xml:space="preserve">Schéma logique niveaux 2 et 3 (VLAN, adressage, routage, pare-feu)</w:t>
      </w:r>
    </w:p>
    <w:p>
      <w:pPr>
        <w:pStyle w:val="Compact"/>
        <w:numPr>
          <w:ilvl w:val="0"/>
          <w:numId w:val="1008"/>
        </w:numPr>
      </w:pPr>
      <w:r>
        <w:t xml:space="preserve">Dimensionnement et évolutivité</w:t>
      </w:r>
    </w:p>
    <w:p>
      <w:pPr>
        <w:pStyle w:val="Compact"/>
        <w:numPr>
          <w:ilvl w:val="0"/>
          <w:numId w:val="1008"/>
        </w:numPr>
      </w:pPr>
      <w:r>
        <w:t xml:space="preserve">Plans d'adressage IP et VLAN</w:t>
      </w:r>
    </w:p>
    <w:p>
      <w:pPr>
        <w:pStyle w:val="Compact"/>
        <w:numPr>
          <w:ilvl w:val="0"/>
          <w:numId w:val="1008"/>
        </w:numPr>
      </w:pPr>
      <w:r>
        <w:t xml:space="preserve">Éléments de configuration spécifiques</w:t>
      </w:r>
    </w:p>
    <w:p>
      <w:pPr>
        <w:pStyle w:val="Compact"/>
        <w:numPr>
          <w:ilvl w:val="0"/>
          <w:numId w:val="1008"/>
        </w:numPr>
      </w:pPr>
      <w:r>
        <w:t xml:space="preserve">Matrices de flux jusqu'aux ports TCP/UDP</w:t>
      </w:r>
    </w:p>
    <w:p>
      <w:pPr>
        <w:pStyle w:val="Compact"/>
        <w:numPr>
          <w:ilvl w:val="0"/>
          <w:numId w:val="1008"/>
        </w:numPr>
      </w:pPr>
      <w:r>
        <w:t xml:space="preserve">Scénarios de bascule et de reprise sur panne</w:t>
      </w:r>
    </w:p>
    <w:p>
      <w:pPr>
        <w:pStyle w:val="Compact"/>
        <w:numPr>
          <w:ilvl w:val="0"/>
          <w:numId w:val="1008"/>
        </w:numPr>
      </w:pPr>
      <w:r>
        <w:t xml:space="preserve">Annexes</w:t>
      </w:r>
    </w:p>
    <w:p>
      <w:r>
        <w:pict>
          <v:rect style="width:0;height:1.5pt" o:hralign="center" o:hrstd="t" o:hr="t"/>
        </w:pict>
      </w:r>
    </w:p>
    <w:bookmarkEnd w:id="38"/>
    <w:bookmarkStart w:id="44" w:name="X5b252b61ef14d4c86310f691aaa66fb74d34724"/>
    <w:p>
      <w:pPr>
        <w:pStyle w:val="Heading2"/>
      </w:pPr>
      <w:r>
        <w:t xml:space="preserve">1. Objet et périmètre</w:t>
      </w:r>
    </w:p>
    <w:bookmarkStart w:id="39" w:name="Xe275831557d2fd2f24615741920422f5a453ba0"/>
    <w:p>
      <w:pPr>
        <w:pStyle w:val="Heading3"/>
      </w:pPr>
      <w:r>
        <w:t xml:space="preserve">1.1 Objet du document</w:t>
      </w:r>
    </w:p>
    <w:p>
      <w:pPr>
        <w:pStyle w:val="FirstParagraph"/>
      </w:pPr>
      <w:r>
        <w:t xml:space="preserve">Le présent Dossier de Conception Détaillée (DCD) décrit l'architecture technique proposée pour l'installation de la plateforme de transcription audio intelligente</w:t>
      </w:r>
      <w:r>
        <w:t xml:space="preserve"> </w:t>
      </w:r>
      <w:r>
        <w:rPr>
          <w:b/>
          <w:bCs/>
        </w:rPr>
        <w:t xml:space="preserve">TranscribIA</w:t>
      </w:r>
      <w:r>
        <w:t xml:space="preserve"> </w:t>
      </w:r>
      <w:r>
        <w:t xml:space="preserve">au sein de l'infrastructure du Client, en mode</w:t>
      </w:r>
      <w:r>
        <w:t xml:space="preserve"> </w:t>
      </w:r>
      <w:r>
        <w:rPr>
          <w:b/>
          <w:bCs/>
        </w:rPr>
        <w:t xml:space="preserve">on-premise isolé</w:t>
      </w:r>
      <w:r>
        <w:t xml:space="preserve"> </w:t>
      </w:r>
      <w:r>
        <w:t xml:space="preserve">(variante « zéro cloud »).</w:t>
      </w:r>
    </w:p>
    <w:p>
      <w:pPr>
        <w:pStyle w:val="BodyText"/>
      </w:pPr>
      <w:r>
        <w:t xml:space="preserve">Il constitue le document de référence pour :</w:t>
      </w:r>
    </w:p>
    <w:p>
      <w:pPr>
        <w:pStyle w:val="Compact"/>
        <w:numPr>
          <w:ilvl w:val="0"/>
          <w:numId w:val="1009"/>
        </w:numPr>
      </w:pPr>
      <w:r>
        <w:t xml:space="preserve">la validation de l'architecture par la DSI du Client avant implantation ;</w:t>
      </w:r>
    </w:p>
    <w:p>
      <w:pPr>
        <w:pStyle w:val="Compact"/>
        <w:numPr>
          <w:ilvl w:val="0"/>
          <w:numId w:val="1009"/>
        </w:numPr>
      </w:pPr>
      <w:r>
        <w:t xml:space="preserve">le dimensionnement et l'acquisition du matériel ;</w:t>
      </w:r>
    </w:p>
    <w:p>
      <w:pPr>
        <w:pStyle w:val="Compact"/>
        <w:numPr>
          <w:ilvl w:val="0"/>
          <w:numId w:val="1009"/>
        </w:numPr>
      </w:pPr>
      <w:r>
        <w:t xml:space="preserve">la configuration réseau et sécurité ;</w:t>
      </w:r>
    </w:p>
    <w:p>
      <w:pPr>
        <w:pStyle w:val="Compact"/>
        <w:numPr>
          <w:ilvl w:val="0"/>
          <w:numId w:val="1009"/>
        </w:numPr>
      </w:pPr>
      <w:r>
        <w:t xml:space="preserve">la préparation du dossier de recette (voir</w:t>
      </w:r>
      <w:r>
        <w:t xml:space="preserve"> </w:t>
      </w:r>
      <w:r>
        <w:rPr>
          <w:rStyle w:val="VerbatimChar"/>
        </w:rPr>
        <w:t xml:space="preserve">03_Dossier_Qualification_Cahier_Recette.md</w:t>
      </w:r>
      <w:r>
        <w:t xml:space="preserve">) ;</w:t>
      </w:r>
    </w:p>
    <w:p>
      <w:pPr>
        <w:pStyle w:val="Compact"/>
        <w:numPr>
          <w:ilvl w:val="0"/>
          <w:numId w:val="1009"/>
        </w:numPr>
      </w:pPr>
      <w:r>
        <w:t xml:space="preserve">l'exploitation courante (voir</w:t>
      </w:r>
      <w:r>
        <w:t xml:space="preserve"> </w:t>
      </w:r>
      <w:r>
        <w:rPr>
          <w:rStyle w:val="VerbatimChar"/>
        </w:rPr>
        <w:t xml:space="preserve">02_Dossier_Exploitation.md</w:t>
      </w:r>
      <w:r>
        <w:t xml:space="preserve">).</w:t>
      </w:r>
    </w:p>
    <w:bookmarkEnd w:id="39"/>
    <w:bookmarkStart w:id="40" w:name="X3e04d5c5bb33f9d4f89d9272aa70930dcf69dc0"/>
    <w:p>
      <w:pPr>
        <w:pStyle w:val="Heading3"/>
      </w:pPr>
      <w:r>
        <w:t xml:space="preserve">1.2 Périmètre fonctionnel</w:t>
      </w:r>
    </w:p>
    <w:p>
      <w:pPr>
        <w:pStyle w:val="FirstParagraph"/>
      </w:pPr>
      <w:r>
        <w:t xml:space="preserve">TranscribIA est une plateforme de transcription audio intelligente couvrant la chaîne suivante :</w:t>
      </w:r>
    </w:p>
    <w:p>
      <w:pPr>
        <w:pStyle w:val="Compact"/>
        <w:numPr>
          <w:ilvl w:val="0"/>
          <w:numId w:val="1010"/>
        </w:numPr>
      </w:pPr>
      <w:r>
        <w:rPr>
          <w:b/>
          <w:bCs/>
        </w:rPr>
        <w:t xml:space="preserve">Dépôt de fichiers audio</w:t>
      </w:r>
      <w:r>
        <w:t xml:space="preserve"> </w:t>
      </w:r>
      <w:r>
        <w:t xml:space="preserve">(upload) par les utilisateurs authentifiés ;</w:t>
      </w:r>
    </w:p>
    <w:p>
      <w:pPr>
        <w:pStyle w:val="Compact"/>
        <w:numPr>
          <w:ilvl w:val="0"/>
          <w:numId w:val="1010"/>
        </w:numPr>
      </w:pPr>
      <w:r>
        <w:rPr>
          <w:b/>
          <w:bCs/>
        </w:rPr>
        <w:t xml:space="preserve">Transcription automatique</w:t>
      </w:r>
      <w:r>
        <w:t xml:space="preserve"> </w:t>
      </w:r>
      <w:r>
        <w:t xml:space="preserve">et</w:t>
      </w:r>
      <w:r>
        <w:t xml:space="preserve"> </w:t>
      </w:r>
      <w:r>
        <w:rPr>
          <w:b/>
          <w:bCs/>
        </w:rPr>
        <w:t xml:space="preserve">diarisation</w:t>
      </w:r>
      <w:r>
        <w:t xml:space="preserve"> </w:t>
      </w:r>
      <w:r>
        <w:t xml:space="preserve">(séparation des locuteurs) via un serveur de transcription GPU ;</w:t>
      </w:r>
    </w:p>
    <w:p>
      <w:pPr>
        <w:pStyle w:val="Compact"/>
        <w:numPr>
          <w:ilvl w:val="0"/>
          <w:numId w:val="1010"/>
        </w:numPr>
      </w:pPr>
      <w:r>
        <w:rPr>
          <w:b/>
          <w:bCs/>
        </w:rPr>
        <w:t xml:space="preserve">Exploitation par IA</w:t>
      </w:r>
      <w:r>
        <w:t xml:space="preserve"> </w:t>
      </w:r>
      <w:r>
        <w:t xml:space="preserve">(correction, résumé, procès-verbal, chapitrage, suggestion d'identification des locuteurs) via un moteur LLM ;</w:t>
      </w:r>
    </w:p>
    <w:p>
      <w:pPr>
        <w:pStyle w:val="Compact"/>
        <w:numPr>
          <w:ilvl w:val="0"/>
          <w:numId w:val="1010"/>
        </w:numPr>
      </w:pPr>
      <w:r>
        <w:rPr>
          <w:b/>
          <w:bCs/>
        </w:rPr>
        <w:t xml:space="preserve">Exports</w:t>
      </w:r>
      <w:r>
        <w:t xml:space="preserve"> </w:t>
      </w:r>
      <w:r>
        <w:t xml:space="preserve">au format Word (DOCX) ;</w:t>
      </w:r>
    </w:p>
    <w:p>
      <w:pPr>
        <w:pStyle w:val="Compact"/>
        <w:numPr>
          <w:ilvl w:val="0"/>
          <w:numId w:val="1010"/>
        </w:numPr>
      </w:pPr>
      <w:r>
        <w:rPr>
          <w:b/>
          <w:bCs/>
        </w:rPr>
        <w:t xml:space="preserve">Administration</w:t>
      </w:r>
      <w:r>
        <w:t xml:space="preserve"> </w:t>
      </w:r>
      <w:r>
        <w:t xml:space="preserve">multi-organisations (multi-tenant), gestion des utilisateurs et des rôles, journalisation.</w:t>
      </w:r>
    </w:p>
    <w:p>
      <w:pPr>
        <w:pStyle w:val="FirstParagraph"/>
      </w:pPr>
      <w:r>
        <w:t xml:space="preserve">Formats audio pris en charge : mp3, wav, ogg, m4a, flac, webm, mp4, avi, mkv, mov, wmv — taille unitaire maximale</w:t>
      </w:r>
      <w:r>
        <w:t xml:space="preserve"> </w:t>
      </w:r>
      <w:r>
        <w:rPr>
          <w:b/>
          <w:bCs/>
        </w:rPr>
        <w:t xml:space="preserve">2500 Mo</w:t>
      </w:r>
      <w:r>
        <w:t xml:space="preserve">.</w:t>
      </w:r>
    </w:p>
    <w:bookmarkEnd w:id="40"/>
    <w:bookmarkStart w:id="41" w:name="Xaf17094b5633c59fe59de3b6203b32014dc2390"/>
    <w:p>
      <w:pPr>
        <w:pStyle w:val="Heading3"/>
      </w:pPr>
      <w:r>
        <w:t xml:space="preserve">1.3 Périmètre technique du déploiement on-premise isolé</w:t>
      </w:r>
    </w:p>
    <w:p>
      <w:pPr>
        <w:pStyle w:val="FirstParagraph"/>
      </w:pPr>
      <w:r>
        <w:t xml:space="preserve">Dans la variante isolée retenue pour le Client,</w:t>
      </w:r>
      <w:r>
        <w:t xml:space="preserve"> </w:t>
      </w:r>
      <w:r>
        <w:rPr>
          <w:b/>
          <w:bCs/>
        </w:rPr>
        <w:t xml:space="preserve">tous les composants</w:t>
      </w:r>
      <w:r>
        <w:t xml:space="preserve"> </w:t>
      </w:r>
      <w:r>
        <w:t xml:space="preserve">s'exécutent au sein de l'infrastructure du Client :</w:t>
      </w:r>
    </w:p>
    <w:p>
      <w:pPr>
        <w:pStyle w:val="Compact"/>
        <w:numPr>
          <w:ilvl w:val="0"/>
          <w:numId w:val="1011"/>
        </w:numPr>
      </w:pPr>
      <w:r>
        <w:t xml:space="preserve">l'application (backend Laravel/PHP-FPM, workers de file d'attente, ordonnanceur, serveur WebSocket, frontend, reverse proxy) ;</w:t>
      </w:r>
    </w:p>
    <w:p>
      <w:pPr>
        <w:pStyle w:val="Compact"/>
        <w:numPr>
          <w:ilvl w:val="0"/>
          <w:numId w:val="1011"/>
        </w:numPr>
      </w:pPr>
      <w:r>
        <w:t xml:space="preserve">la base de données PostgreSQL et le cache/file Redis ;</w:t>
      </w:r>
    </w:p>
    <w:p>
      <w:pPr>
        <w:pStyle w:val="Compact"/>
        <w:numPr>
          <w:ilvl w:val="0"/>
          <w:numId w:val="1011"/>
        </w:numPr>
      </w:pPr>
      <w:r>
        <w:t xml:space="preserve">l'antivirus ClamAV ;</w:t>
      </w:r>
    </w:p>
    <w:p>
      <w:pPr>
        <w:pStyle w:val="Compact"/>
        <w:numPr>
          <w:ilvl w:val="0"/>
          <w:numId w:val="1011"/>
        </w:numPr>
      </w:pPr>
      <w:r>
        <w:t xml:space="preserve">le</w:t>
      </w:r>
      <w:r>
        <w:t xml:space="preserve"> </w:t>
      </w:r>
      <w:r>
        <w:rPr>
          <w:b/>
          <w:bCs/>
        </w:rPr>
        <w:t xml:space="preserve">serveur de transcription GPU</w:t>
      </w:r>
      <w:r>
        <w:t xml:space="preserve"> </w:t>
      </w:r>
      <w:r>
        <w:t xml:space="preserve">(transcription + diarisation, exécution locale) ;</w:t>
      </w:r>
    </w:p>
    <w:p>
      <w:pPr>
        <w:pStyle w:val="Compact"/>
        <w:numPr>
          <w:ilvl w:val="0"/>
          <w:numId w:val="1011"/>
        </w:numPr>
      </w:pPr>
      <w:r>
        <w:t xml:space="preserve">le</w:t>
      </w:r>
      <w:r>
        <w:t xml:space="preserve"> </w:t>
      </w:r>
      <w:r>
        <w:rPr>
          <w:b/>
          <w:bCs/>
        </w:rPr>
        <w:t xml:space="preserve">moteur LLM auto-hébergé</w:t>
      </w:r>
      <w:r>
        <w:t xml:space="preserve"> </w:t>
      </w:r>
      <w:r>
        <w:t xml:space="preserve">: serveur</w:t>
      </w:r>
      <w:r>
        <w:t xml:space="preserve"> </w:t>
      </w:r>
      <w:r>
        <w:rPr>
          <w:b/>
          <w:bCs/>
        </w:rPr>
        <w:t xml:space="preserve">vLLM</w:t>
      </w:r>
      <w:r>
        <w:t xml:space="preserve"> </w:t>
      </w:r>
      <w:r>
        <w:t xml:space="preserve">exécutant un modèle</w:t>
      </w:r>
      <w:r>
        <w:t xml:space="preserve"> </w:t>
      </w:r>
      <w:r>
        <w:rPr>
          <w:b/>
          <w:bCs/>
        </w:rPr>
        <w:t xml:space="preserve">open-weights Qwen 3.6 ou Mistral</w:t>
      </w:r>
      <w:r>
        <w:t xml:space="preserve"> </w:t>
      </w:r>
      <w:r>
        <w:rPr>
          <w:rStyle w:val="VerbatimChar"/>
        </w:rPr>
        <w:t xml:space="preserve">[versions exactes à confirmer]</w:t>
      </w:r>
      <w:r>
        <w:t xml:space="preserve">, exposé en endpoint local (port type 8000/TCP), via la fonctionnalité « configuration LLM par organisation » livrée en v1.7.0 (URL auto-hébergée supportée, avec garde anti-SSRF ; chaque organisation peut définir ses propres routes LLM).</w:t>
      </w:r>
    </w:p>
    <w:p>
      <w:pPr>
        <w:pStyle w:val="FirstParagraph"/>
      </w:pPr>
      <w:r>
        <w:rPr>
          <w:b/>
          <w:bCs/>
        </w:rPr>
        <w:t xml:space="preserve">Conséquence :</w:t>
      </w:r>
      <w:r>
        <w:t xml:space="preserve"> </w:t>
      </w:r>
      <w:r>
        <w:t xml:space="preserve">aucun flux Internet sortant n'est requis pour le fonctionnement nominal. C'est cette variante qui fonde l'attestation « aucune donnée dans le cloud ».</w:t>
      </w:r>
    </w:p>
    <w:bookmarkEnd w:id="41"/>
    <w:bookmarkStart w:id="42" w:name="Xf1edc98743074e07ae09cbf32fddc16a46daabd"/>
    <w:p>
      <w:pPr>
        <w:pStyle w:val="Heading3"/>
      </w:pPr>
      <w:r>
        <w:t xml:space="preserve">1.4 Hors périmètre</w:t>
      </w:r>
    </w:p>
    <w:p>
      <w:pPr>
        <w:pStyle w:val="Compact"/>
        <w:numPr>
          <w:ilvl w:val="0"/>
          <w:numId w:val="1012"/>
        </w:numPr>
      </w:pPr>
      <w:r>
        <w:t xml:space="preserve">La fourniture des liens réseau inter-salles, des équipements actifs (commutateurs, routeurs, pare-feu) et du câblage, qui relèvent du Client.</w:t>
      </w:r>
    </w:p>
    <w:p>
      <w:pPr>
        <w:pStyle w:val="Compact"/>
        <w:numPr>
          <w:ilvl w:val="0"/>
          <w:numId w:val="1012"/>
        </w:numPr>
      </w:pPr>
      <w:r>
        <w:t xml:space="preserve">L'annuaire d'authentification externe (LDAP/AD/SSO) : non requis par TranscribIA en standard (comptes gérés en interne). Une intégration éventuelle est</w:t>
      </w:r>
      <w:r>
        <w:t xml:space="preserve"> </w:t>
      </w:r>
      <w:r>
        <w:rPr>
          <w:rStyle w:val="VerbatimChar"/>
        </w:rPr>
        <w:t xml:space="preserve">[À COMPLÉTER : besoin d'intégration SSO à confirmer avec la DSI]</w:t>
      </w:r>
      <w:r>
        <w:t xml:space="preserve">.</w:t>
      </w:r>
    </w:p>
    <w:p>
      <w:pPr>
        <w:pStyle w:val="Compact"/>
        <w:numPr>
          <w:ilvl w:val="0"/>
          <w:numId w:val="1012"/>
        </w:numPr>
      </w:pPr>
      <w:r>
        <w:t xml:space="preserve">La fourniture des postes de travail des utilisateurs finaux.</w:t>
      </w:r>
    </w:p>
    <w:p>
      <w:pPr>
        <w:pStyle w:val="Compact"/>
        <w:numPr>
          <w:ilvl w:val="0"/>
          <w:numId w:val="1012"/>
        </w:numPr>
      </w:pPr>
      <w:r>
        <w:t xml:space="preserve">Les procédures d'exploitation et de recette, qui font l'objet de documents dédiés.</w:t>
      </w:r>
    </w:p>
    <w:bookmarkEnd w:id="42"/>
    <w:bookmarkStart w:id="43" w:name="Xbef27973ca9f22ac65c3c2f5a6f14aaa8be9b27"/>
    <w:p>
      <w:pPr>
        <w:pStyle w:val="Heading3"/>
      </w:pPr>
      <w:r>
        <w:t xml:space="preserve">1.5 Terminologie du site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Terme</w:t>
            </w:r>
          </w:p>
        </w:tc>
        <w:tc>
          <w:tcPr/>
          <w:p>
            <w:pPr>
              <w:pStyle w:val="Compact"/>
            </w:pPr>
            <w:r>
              <w:t xml:space="preserve">Signification</w:t>
            </w:r>
          </w:p>
        </w:tc>
      </w:tr>
      <w:tr>
        <w:tc>
          <w:tcPr/>
          <w:p>
            <w:pPr>
              <w:pStyle w:val="Compact"/>
            </w:pPr>
            <w:r>
              <w:rPr>
                <w:b/>
                <w:bCs/>
              </w:rPr>
              <w:t xml:space="preserve">Salle A (site principal)</w:t>
            </w:r>
          </w:p>
        </w:tc>
        <w:tc>
          <w:tcPr/>
          <w:p>
            <w:pPr>
              <w:pStyle w:val="Compact"/>
            </w:pPr>
            <w:r>
              <w:t xml:space="preserve">Première salle serveurs du Client — proposée comme site</w:t>
            </w:r>
            <w:r>
              <w:t xml:space="preserve"> </w:t>
            </w:r>
            <w:r>
              <w:rPr>
                <w:b/>
                <w:bCs/>
              </w:rPr>
              <w:t xml:space="preserve">actif</w:t>
            </w:r>
            <w:r>
              <w:t xml:space="preserve"> </w:t>
            </w:r>
            <w:r>
              <w:t xml:space="preserve">(production)</w:t>
            </w:r>
          </w:p>
        </w:tc>
      </w:tr>
      <w:tr>
        <w:tc>
          <w:tcPr/>
          <w:p>
            <w:pPr>
              <w:pStyle w:val="Compact"/>
            </w:pPr>
            <w:r>
              <w:rPr>
                <w:b/>
                <w:bCs/>
              </w:rPr>
              <w:t xml:space="preserve">Salle B (site de secours)</w:t>
            </w:r>
          </w:p>
        </w:tc>
        <w:tc>
          <w:tcPr/>
          <w:p>
            <w:pPr>
              <w:pStyle w:val="Compact"/>
            </w:pPr>
            <w:r>
              <w:t xml:space="preserve">Seconde salle serveurs du Client — proposée comme site de</w:t>
            </w:r>
            <w:r>
              <w:t xml:space="preserve"> </w:t>
            </w:r>
            <w:r>
              <w:rPr>
                <w:b/>
                <w:bCs/>
              </w:rPr>
              <w:t xml:space="preserve">secours passif</w:t>
            </w:r>
          </w:p>
        </w:tc>
      </w:tr>
      <w:tr>
        <w:tc>
          <w:tcPr/>
          <w:p>
            <w:pPr>
              <w:pStyle w:val="Compact"/>
            </w:pPr>
            <w:r>
              <w:t xml:space="preserve">VLAN</w:t>
            </w:r>
          </w:p>
        </w:tc>
        <w:tc>
          <w:tcPr/>
          <w:p>
            <w:pPr>
              <w:pStyle w:val="Compact"/>
            </w:pPr>
            <w:r>
              <w:t xml:space="preserve">Réseau local virtuel (segmentation de niveau 2)</w:t>
            </w:r>
          </w:p>
        </w:tc>
      </w:tr>
      <w:tr>
        <w:tc>
          <w:tcPr/>
          <w:p>
            <w:pPr>
              <w:pStyle w:val="Compact"/>
            </w:pPr>
            <w:r>
              <w:t xml:space="preserve">RPO</w:t>
            </w:r>
          </w:p>
        </w:tc>
        <w:tc>
          <w:tcPr/>
          <w:p>
            <w:pPr>
              <w:pStyle w:val="Compact"/>
            </w:pPr>
            <w:r>
              <w:rPr>
                <w:i/>
                <w:iCs/>
              </w:rPr>
              <w:t xml:space="preserve">Recovery Point Objective</w:t>
            </w:r>
            <w:r>
              <w:t xml:space="preserve"> </w:t>
            </w:r>
            <w:r>
              <w:t xml:space="preserve">— perte de données maximale admissible</w:t>
            </w:r>
          </w:p>
        </w:tc>
      </w:tr>
      <w:tr>
        <w:tc>
          <w:tcPr/>
          <w:p>
            <w:pPr>
              <w:pStyle w:val="Compact"/>
            </w:pPr>
            <w:r>
              <w:t xml:space="preserve">RTO</w:t>
            </w:r>
          </w:p>
        </w:tc>
        <w:tc>
          <w:tcPr/>
          <w:p>
            <w:pPr>
              <w:pStyle w:val="Compact"/>
            </w:pPr>
            <w:r>
              <w:rPr>
                <w:i/>
                <w:iCs/>
              </w:rPr>
              <w:t xml:space="preserve">Recovery Time Objective</w:t>
            </w:r>
            <w:r>
              <w:t xml:space="preserve"> </w:t>
            </w:r>
            <w:r>
              <w:t xml:space="preserve">— durée maximale de rétablissement du service</w:t>
            </w:r>
          </w:p>
        </w:tc>
      </w:tr>
      <w:tr>
        <w:tc>
          <w:tcPr/>
          <w:p>
            <w:pPr>
              <w:pStyle w:val="Compact"/>
            </w:pPr>
            <w:r>
              <w:t xml:space="preserve">Tenant / organisation</w:t>
            </w:r>
          </w:p>
        </w:tc>
        <w:tc>
          <w:tcPr/>
          <w:p>
            <w:pPr>
              <w:pStyle w:val="Compact"/>
            </w:pPr>
            <w:r>
              <w:t xml:space="preserve">Espace cloisonné d'une entité cliente interne (schéma PostgreSQL dédié)</w:t>
            </w:r>
          </w:p>
        </w:tc>
      </w:tr>
    </w:tbl>
    <w:p>
      <w:r>
        <w:pict>
          <v:rect style="width:0;height:1.5pt" o:hralign="center" o:hrstd="t" o:hr="t"/>
        </w:pict>
      </w:r>
    </w:p>
    <w:bookmarkEnd w:id="43"/>
    <w:bookmarkEnd w:id="44"/>
    <w:bookmarkStart w:id="49" w:name="Xf97389b9150adb04abb5691c35359febb84ebc0"/>
    <w:p>
      <w:pPr>
        <w:pStyle w:val="Heading2"/>
      </w:pPr>
      <w:r>
        <w:t xml:space="preserve">2. Architecture de haut niveau (technico-fonctionnelle et sécurité)</w:t>
      </w:r>
    </w:p>
    <w:bookmarkStart w:id="45" w:name="X7fbda49b87906c87bb24ccbc1b2ce06fd32cddf"/>
    <w:p>
      <w:pPr>
        <w:pStyle w:val="Heading3"/>
      </w:pPr>
      <w:r>
        <w:t xml:space="preserve">2.1 Principe général : actif Salle A / secours passif Salle B</w:t>
      </w:r>
    </w:p>
    <w:p>
      <w:pPr>
        <w:pStyle w:val="FirstParagraph"/>
      </w:pPr>
      <w:r>
        <w:t xml:space="preserve">L'architecture proposée repose sur deux salles serveurs :</w:t>
      </w:r>
    </w:p>
    <w:p>
      <w:pPr>
        <w:pStyle w:val="Compact"/>
        <w:numPr>
          <w:ilvl w:val="0"/>
          <w:numId w:val="1013"/>
        </w:numPr>
      </w:pPr>
      <w:r>
        <w:rPr>
          <w:b/>
          <w:bCs/>
        </w:rPr>
        <w:t xml:space="preserve">Salle A — site actif :</w:t>
      </w:r>
      <w:r>
        <w:t xml:space="preserve"> </w:t>
      </w:r>
      <w:r>
        <w:t xml:space="preserve">héberge l'instance de production complète de TranscribIA. Tous les utilisateurs y sont dirigés en fonctionnement nominal.</w:t>
      </w:r>
    </w:p>
    <w:p>
      <w:pPr>
        <w:pStyle w:val="Compact"/>
        <w:numPr>
          <w:ilvl w:val="0"/>
          <w:numId w:val="1013"/>
        </w:numPr>
      </w:pPr>
      <w:r>
        <w:rPr>
          <w:b/>
          <w:bCs/>
        </w:rPr>
        <w:t xml:space="preserve">Salle B — site de secours passif :</w:t>
      </w:r>
      <w:r>
        <w:t xml:space="preserve"> </w:t>
      </w:r>
      <w:r>
        <w:t xml:space="preserve">héberge une instance en attente (</w:t>
      </w:r>
      <w:r>
        <w:rPr>
          <w:i/>
          <w:iCs/>
        </w:rPr>
        <w:t xml:space="preserve">standby</w:t>
      </w:r>
      <w:r>
        <w:t xml:space="preserve">), maintenue à jour par réplication continue de la base de données et synchronisation des volumes de stockage. Elle n'est activée qu'en cas de perte du site principal (bascule) ou pour les opérations de maintenance planifiée.</w:t>
      </w:r>
    </w:p>
    <w:p>
      <w:pPr>
        <w:pStyle w:val="BlockText"/>
      </w:pPr>
      <w:r>
        <w:rPr>
          <w:b/>
          <w:bCs/>
        </w:rPr>
        <w:t xml:space="preserve">Choix d'architecture proposé — à valider en implantation.</w:t>
      </w:r>
      <w:r>
        <w:t xml:space="preserve"> </w:t>
      </w:r>
      <w:r>
        <w:t xml:space="preserve">Le modèle actif/passif est retenu pour sa simplicité opérationnelle et la maîtrise du risque de divergence de données (pas d'écriture concurrente sur deux sites). Une variante actif/actif n'est pas proposée : elle imposerait un mécanisme de résolution de conflits multi-maîtres inadapté au modèle transactionnel de l'application.</w:t>
      </w:r>
    </w:p>
    <w:bookmarkEnd w:id="45"/>
    <w:bookmarkStart w:id="46" w:name="X172404cb2009284406ca2678309e00a17b9a8c0"/>
    <w:p>
      <w:pPr>
        <w:pStyle w:val="Heading3"/>
      </w:pPr>
      <w:r>
        <w:t xml:space="preserve">2.2 Vue technico-fonctionnelle (macro)</w:t>
      </w:r>
    </w:p>
    <w:p>
      <w:pPr>
        <w:pStyle w:val="SourceCode"/>
      </w:pPr>
      <w:r>
        <w:rPr>
          <w:rStyle w:val="VerbatimChar"/>
        </w:rPr>
        <w:t xml:space="preserve">                          UTILISATEURS DU CLIENT</w:t>
      </w:r>
      <w:r>
        <w:br/>
      </w:r>
      <w:r>
        <w:rPr>
          <w:rStyle w:val="VerbatimChar"/>
        </w:rPr>
        <w:t xml:space="preserve">                    (postes de travail — réseau bureautique)</w:t>
      </w:r>
      <w:r>
        <w:br/>
      </w:r>
      <w:r>
        <w:rPr>
          <w:rStyle w:val="VerbatimChar"/>
        </w:rPr>
        <w:t xml:space="preserve">                                     │</w:t>
      </w:r>
      <w:r>
        <w:br/>
      </w:r>
      <w:r>
        <w:rPr>
          <w:rStyle w:val="VerbatimChar"/>
        </w:rPr>
        <w:t xml:space="preserve">                                HTTPS 443</w:t>
      </w:r>
      <w:r>
        <w:br/>
      </w:r>
      <w:r>
        <w:rPr>
          <w:rStyle w:val="VerbatimChar"/>
        </w:rPr>
        <w:t xml:space="preserve">                                     │</w:t>
      </w:r>
      <w:r>
        <w:br/>
      </w:r>
      <w:r>
        <w:rPr>
          <w:rStyle w:val="VerbatimChar"/>
        </w:rPr>
        <w:t xml:space="preserve">                    ┌────────────────▼─────────────────┐</w:t>
      </w:r>
      <w:r>
        <w:br/>
      </w:r>
      <w:r>
        <w:rPr>
          <w:rStyle w:val="VerbatimChar"/>
        </w:rPr>
        <w:t xml:space="preserve">                    │        VIP applicative            │</w:t>
      </w:r>
      <w:r>
        <w:br/>
      </w:r>
      <w:r>
        <w:rPr>
          <w:rStyle w:val="VerbatimChar"/>
        </w:rPr>
        <w:t xml:space="preserve">                    │   (bascule DNS / IP virtuelle)    │</w:t>
      </w:r>
      <w:r>
        <w:br/>
      </w:r>
      <w:r>
        <w:rPr>
          <w:rStyle w:val="VerbatimChar"/>
        </w:rPr>
        <w:t xml:space="preserve">                    └────────────────┬─────────────────┘</w:t>
      </w:r>
      <w:r>
        <w:br/>
      </w:r>
      <w:r>
        <w:rPr>
          <w:rStyle w:val="VerbatimChar"/>
        </w:rPr>
        <w:t xml:space="preserve">             ACTIF                   │                 SECOURS (passif)</w:t>
      </w:r>
      <w:r>
        <w:br/>
      </w:r>
      <w:r>
        <w:rPr>
          <w:rStyle w:val="VerbatimChar"/>
        </w:rPr>
        <w:t xml:space="preserve">   ┌─────────────────────────┐      │      ┌─────────────────────────┐</w:t>
      </w:r>
      <w:r>
        <w:br/>
      </w:r>
      <w:r>
        <w:rPr>
          <w:rStyle w:val="VerbatimChar"/>
        </w:rPr>
        <w:t xml:space="preserve">   │      SALLE A          │◄─────┴─────►│       SALLE B         │</w:t>
      </w:r>
      <w:r>
        <w:br/>
      </w:r>
      <w:r>
        <w:rPr>
          <w:rStyle w:val="VerbatimChar"/>
        </w:rPr>
        <w:t xml:space="preserve">   │                         │  Réplication │                         │</w:t>
      </w:r>
      <w:r>
        <w:br/>
      </w:r>
      <w:r>
        <w:rPr>
          <w:rStyle w:val="VerbatimChar"/>
        </w:rPr>
        <w:t xml:space="preserve">   │  ┌───────────────────┐  │  PostgreSQL  │  ┌───────────────────┐  │</w:t>
      </w:r>
      <w:r>
        <w:br/>
      </w:r>
      <w:r>
        <w:rPr>
          <w:rStyle w:val="VerbatimChar"/>
        </w:rPr>
        <w:t xml:space="preserve">   │  │ Serveur applicatif│  │  (streaming  │  │ Serveur applicatif│  │</w:t>
      </w:r>
      <w:r>
        <w:br/>
      </w:r>
      <w:r>
        <w:rPr>
          <w:rStyle w:val="VerbatimChar"/>
        </w:rPr>
        <w:t xml:space="preserve">   │  │ (stack Docker)    │  │   async)     │  │ (standby)         │  │</w:t>
      </w:r>
      <w:r>
        <w:br/>
      </w:r>
      <w:r>
        <w:rPr>
          <w:rStyle w:val="VerbatimChar"/>
        </w:rPr>
        <w:t xml:space="preserve">   │  └───────────────────┘  │  ───────────►│  └───────────────────┘  │</w:t>
      </w:r>
      <w:r>
        <w:br/>
      </w:r>
      <w:r>
        <w:rPr>
          <w:rStyle w:val="VerbatimChar"/>
        </w:rPr>
        <w:t xml:space="preserve">   │  ┌───────────────────┐  │  Synchro     │  ┌───────────────────┐  │</w:t>
      </w:r>
      <w:r>
        <w:br/>
      </w:r>
      <w:r>
        <w:rPr>
          <w:rStyle w:val="VerbatimChar"/>
        </w:rPr>
        <w:t xml:space="preserve">   │  │ Serveur GPU        │  │  stockage    │  │ Serveur GPU        │  │</w:t>
      </w:r>
      <w:r>
        <w:br/>
      </w:r>
      <w:r>
        <w:rPr>
          <w:rStyle w:val="VerbatimChar"/>
        </w:rPr>
        <w:t xml:space="preserve">   │  │ (transcription +   │  │  ───────────►│  │ (transcription +   │  │</w:t>
      </w:r>
      <w:r>
        <w:br/>
      </w:r>
      <w:r>
        <w:rPr>
          <w:rStyle w:val="VerbatimChar"/>
        </w:rPr>
        <w:t xml:space="preserve">   │  │  LLM local)        │  │              │  │  LLM local)        │  │</w:t>
      </w:r>
      <w:r>
        <w:br/>
      </w:r>
      <w:r>
        <w:rPr>
          <w:rStyle w:val="VerbatimChar"/>
        </w:rPr>
        <w:t xml:space="preserve">   │  └───────────────────┘  │              │  └───────────────────┘  │</w:t>
      </w:r>
      <w:r>
        <w:br/>
      </w:r>
      <w:r>
        <w:rPr>
          <w:rStyle w:val="VerbatimChar"/>
        </w:rPr>
        <w:t xml:space="preserve">   └─────────────────────────┘              └─────────────────────────┘</w:t>
      </w:r>
    </w:p>
    <w:p>
      <w:pPr>
        <w:pStyle w:val="FirstParagraph"/>
      </w:pPr>
      <w:r>
        <w:rPr>
          <w:i/>
          <w:iCs/>
        </w:rPr>
        <w:t xml:space="preserve">Ce synoptique sera remis au format Microsoft Visio (.vsdx) lors de la phase d'implantation, complété des éléments propres au site.</w:t>
      </w:r>
    </w:p>
    <w:bookmarkEnd w:id="46"/>
    <w:bookmarkStart w:id="47" w:name="X7c2c88078952b3b1ed0c71eb735b13249232f3b"/>
    <w:p>
      <w:pPr>
        <w:pStyle w:val="Heading3"/>
      </w:pPr>
      <w:r>
        <w:t xml:space="preserve">2.3 Composants applicatifs (stack TranscribIA)</w:t>
      </w:r>
    </w:p>
    <w:p>
      <w:pPr>
        <w:pStyle w:val="FirstParagraph"/>
      </w:pPr>
      <w:r>
        <w:t xml:space="preserve">La plateforme est livrée sous forme d'une pile de conteneurs orchestrée par Docker Compose. Composants et rôles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Composant</w:t>
            </w:r>
          </w:p>
        </w:tc>
        <w:tc>
          <w:tcPr/>
          <w:p>
            <w:pPr>
              <w:pStyle w:val="Compact"/>
            </w:pPr>
            <w:r>
              <w:t xml:space="preserve">Rôle</w:t>
            </w:r>
          </w:p>
        </w:tc>
        <w:tc>
          <w:tcPr/>
          <w:p>
            <w:pPr>
              <w:pStyle w:val="Compact"/>
            </w:pPr>
            <w:r>
              <w:t xml:space="preserve">Port interne</w:t>
            </w:r>
          </w:p>
        </w:tc>
      </w:tr>
      <w:tr>
        <w:tc>
          <w:tcPr/>
          <w:p>
            <w:pPr>
              <w:pStyle w:val="Compact"/>
            </w:pPr>
            <w:r>
              <w:rPr>
                <w:b/>
                <w:bCs/>
              </w:rPr>
              <w:t xml:space="preserve">nginx</w:t>
            </w:r>
          </w:p>
        </w:tc>
        <w:tc>
          <w:tcPr/>
          <w:p>
            <w:pPr>
              <w:pStyle w:val="Compact"/>
            </w:pPr>
            <w:r>
              <w:t xml:space="preserve">Reverse proxy — point d'entrée HTTP(S), en-têtes de sécurité, routage API / SPA / WebSocket</w:t>
            </w:r>
          </w:p>
        </w:tc>
        <w:tc>
          <w:tcPr/>
          <w:p>
            <w:pPr>
              <w:pStyle w:val="Compact"/>
            </w:pPr>
            <w:r>
              <w:t xml:space="preserve">80 (interne) ; exposition externe 443/80</w:t>
            </w:r>
          </w:p>
        </w:tc>
      </w:tr>
      <w:tr>
        <w:tc>
          <w:tcPr/>
          <w:p>
            <w:pPr>
              <w:pStyle w:val="Compact"/>
            </w:pPr>
            <w:r>
              <w:rPr>
                <w:b/>
                <w:bCs/>
              </w:rPr>
              <w:t xml:space="preserve">app</w:t>
            </w:r>
          </w:p>
        </w:tc>
        <w:tc>
          <w:tcPr/>
          <w:p>
            <w:pPr>
              <w:pStyle w:val="Compact"/>
            </w:pPr>
            <w:r>
              <w:t xml:space="preserve">Backend Laravel 12 / PHP-FPM 8.3 — logique métier, API REST (Sanctum)</w:t>
            </w:r>
          </w:p>
        </w:tc>
        <w:tc>
          <w:tcPr/>
          <w:p>
            <w:pPr>
              <w:pStyle w:val="Compact"/>
            </w:pPr>
            <w:r>
              <w:t xml:space="preserve">9000 (FastCGI)</w:t>
            </w:r>
          </w:p>
        </w:tc>
      </w:tr>
      <w:tr>
        <w:tc>
          <w:tcPr/>
          <w:p>
            <w:pPr>
              <w:pStyle w:val="Compact"/>
            </w:pPr>
            <w:r>
              <w:rPr>
                <w:b/>
                <w:bCs/>
              </w:rPr>
              <w:t xml:space="preserve">queue</w:t>
            </w:r>
          </w:p>
        </w:tc>
        <w:tc>
          <w:tcPr/>
          <w:p>
            <w:pPr>
              <w:pStyle w:val="Compact"/>
            </w:pPr>
            <w:r>
              <w:t xml:space="preserve">Worker de file d'attente (files</w:t>
            </w:r>
            <w:r>
              <w:t xml:space="preserve"> </w:t>
            </w:r>
            <w:r>
              <w:rPr>
                <w:rStyle w:val="VerbatimChar"/>
              </w:rPr>
              <w:t xml:space="preserve">default</w:t>
            </w:r>
            <w:r>
              <w:t xml:space="preserve">,</w:t>
            </w:r>
            <w:r>
              <w:t xml:space="preserve"> </w:t>
            </w:r>
            <w:r>
              <w:rPr>
                <w:rStyle w:val="VerbatimChar"/>
              </w:rPr>
              <w:t xml:space="preserve">exports</w:t>
            </w:r>
            <w:r>
              <w:t xml:space="preserve">)</w:t>
            </w:r>
          </w:p>
        </w:tc>
        <w:tc>
          <w:tcPr/>
          <w:p>
            <w:pPr>
              <w:pStyle w:val="Compact"/>
            </w:pPr>
            <w:r>
              <w:t xml:space="preserve">—</w:t>
            </w:r>
          </w:p>
        </w:tc>
      </w:tr>
      <w:tr>
        <w:tc>
          <w:tcPr/>
          <w:p>
            <w:pPr>
              <w:pStyle w:val="Compact"/>
            </w:pPr>
            <w:r>
              <w:rPr>
                <w:b/>
                <w:bCs/>
              </w:rPr>
              <w:t xml:space="preserve">queue-ai</w:t>
            </w:r>
          </w:p>
        </w:tc>
        <w:tc>
          <w:tcPr/>
          <w:p>
            <w:pPr>
              <w:pStyle w:val="Compact"/>
            </w:pPr>
            <w:r>
              <w:t xml:space="preserve">Worker dédié aux générations IA (file</w:t>
            </w:r>
            <w:r>
              <w:t xml:space="preserve"> </w:t>
            </w:r>
            <w:r>
              <w:rPr>
                <w:rStyle w:val="VerbatimChar"/>
              </w:rPr>
              <w:t xml:space="preserve">ai</w:t>
            </w:r>
            <w:r>
              <w:t xml:space="preserve">)</w:t>
            </w:r>
          </w:p>
        </w:tc>
        <w:tc>
          <w:tcPr/>
          <w:p>
            <w:pPr>
              <w:pStyle w:val="Compact"/>
            </w:pPr>
            <w:r>
              <w:t xml:space="preserve">—</w:t>
            </w:r>
          </w:p>
        </w:tc>
      </w:tr>
      <w:tr>
        <w:tc>
          <w:tcPr/>
          <w:p>
            <w:pPr>
              <w:pStyle w:val="Compact"/>
            </w:pPr>
            <w:r>
              <w:rPr>
                <w:b/>
                <w:bCs/>
              </w:rPr>
              <w:t xml:space="preserve">queue-media</w:t>
            </w:r>
          </w:p>
        </w:tc>
        <w:tc>
          <w:tcPr/>
          <w:p>
            <w:pPr>
              <w:pStyle w:val="Compact"/>
            </w:pPr>
            <w:r>
              <w:t xml:space="preserve">Worker dédié au traitement média — fusion audio ffmpeg (file</w:t>
            </w:r>
            <w:r>
              <w:t xml:space="preserve"> </w:t>
            </w:r>
            <w:r>
              <w:rPr>
                <w:rStyle w:val="VerbatimChar"/>
              </w:rPr>
              <w:t xml:space="preserve">media</w:t>
            </w:r>
            <w:r>
              <w:t xml:space="preserve">)</w:t>
            </w:r>
          </w:p>
        </w:tc>
        <w:tc>
          <w:tcPr/>
          <w:p>
            <w:pPr>
              <w:pStyle w:val="Compact"/>
            </w:pPr>
            <w:r>
              <w:t xml:space="preserve">—</w:t>
            </w:r>
          </w:p>
        </w:tc>
      </w:tr>
      <w:tr>
        <w:tc>
          <w:tcPr/>
          <w:p>
            <w:pPr>
              <w:pStyle w:val="Compact"/>
            </w:pPr>
            <w:r>
              <w:rPr>
                <w:b/>
                <w:bCs/>
              </w:rPr>
              <w:t xml:space="preserve">scheduler</w:t>
            </w:r>
          </w:p>
        </w:tc>
        <w:tc>
          <w:tcPr/>
          <w:p>
            <w:pPr>
              <w:pStyle w:val="Compact"/>
            </w:pPr>
            <w:r>
              <w:t xml:space="preserve">Ordonnanceur (tâches planifiées type cron,</w:t>
            </w:r>
            <w:r>
              <w:t xml:space="preserve"> </w:t>
            </w:r>
            <w:r>
              <w:rPr>
                <w:rStyle w:val="VerbatimChar"/>
              </w:rPr>
              <w:t xml:space="preserve">schedule:run</w:t>
            </w:r>
            <w:r>
              <w:t xml:space="preserve"> </w:t>
            </w:r>
            <w:r>
              <w:t xml:space="preserve">toutes les 60 s)</w:t>
            </w:r>
          </w:p>
        </w:tc>
        <w:tc>
          <w:tcPr/>
          <w:p>
            <w:pPr>
              <w:pStyle w:val="Compact"/>
            </w:pPr>
            <w:r>
              <w:t xml:space="preserve">—</w:t>
            </w:r>
          </w:p>
        </w:tc>
      </w:tr>
      <w:tr>
        <w:tc>
          <w:tcPr/>
          <w:p>
            <w:pPr>
              <w:pStyle w:val="Compact"/>
            </w:pPr>
            <w:r>
              <w:rPr>
                <w:b/>
                <w:bCs/>
              </w:rPr>
              <w:t xml:space="preserve">reverb</w:t>
            </w:r>
          </w:p>
        </w:tc>
        <w:tc>
          <w:tcPr/>
          <w:p>
            <w:pPr>
              <w:pStyle w:val="Compact"/>
            </w:pPr>
            <w:r>
              <w:t xml:space="preserve">Serveur WebSocket Laravel Reverb — notifications temps réel</w:t>
            </w:r>
          </w:p>
        </w:tc>
        <w:tc>
          <w:tcPr/>
          <w:p>
            <w:pPr>
              <w:pStyle w:val="Compact"/>
            </w:pPr>
            <w:r>
              <w:t xml:space="preserve">8080</w:t>
            </w:r>
          </w:p>
        </w:tc>
      </w:tr>
      <w:tr>
        <w:tc>
          <w:tcPr/>
          <w:p>
            <w:pPr>
              <w:pStyle w:val="Compact"/>
            </w:pPr>
            <w:r>
              <w:rPr>
                <w:b/>
                <w:bCs/>
              </w:rPr>
              <w:t xml:space="preserve">frontend</w:t>
            </w:r>
          </w:p>
        </w:tc>
        <w:tc>
          <w:tcPr/>
          <w:p>
            <w:pPr>
              <w:pStyle w:val="Compact"/>
            </w:pPr>
            <w:r>
              <w:t xml:space="preserve">Interface React 19 / TypeScript (build statique servi par nginx)</w:t>
            </w:r>
          </w:p>
        </w:tc>
        <w:tc>
          <w:tcPr/>
          <w:p>
            <w:pPr>
              <w:pStyle w:val="Compact"/>
            </w:pPr>
            <w:r>
              <w:t xml:space="preserve">5173</w:t>
            </w:r>
          </w:p>
        </w:tc>
      </w:tr>
      <w:tr>
        <w:tc>
          <w:tcPr/>
          <w:p>
            <w:pPr>
              <w:pStyle w:val="Compact"/>
            </w:pPr>
            <w:r>
              <w:rPr>
                <w:b/>
                <w:bCs/>
              </w:rPr>
              <w:t xml:space="preserve">postgres</w:t>
            </w:r>
          </w:p>
        </w:tc>
        <w:tc>
          <w:tcPr/>
          <w:p>
            <w:pPr>
              <w:pStyle w:val="Compact"/>
            </w:pPr>
            <w:r>
              <w:t xml:space="preserve">Base de données PostgreSQL 16 — multi-tenant schéma-par-organisation</w:t>
            </w:r>
          </w:p>
        </w:tc>
        <w:tc>
          <w:tcPr/>
          <w:p>
            <w:pPr>
              <w:pStyle w:val="Compact"/>
            </w:pPr>
            <w:r>
              <w:t xml:space="preserve">5432 (127.0.0.1)</w:t>
            </w:r>
          </w:p>
        </w:tc>
      </w:tr>
      <w:tr>
        <w:tc>
          <w:tcPr/>
          <w:p>
            <w:pPr>
              <w:pStyle w:val="Compact"/>
            </w:pPr>
            <w:r>
              <w:rPr>
                <w:b/>
                <w:bCs/>
              </w:rPr>
              <w:t xml:space="preserve">redis</w:t>
            </w:r>
          </w:p>
        </w:tc>
        <w:tc>
          <w:tcPr/>
          <w:p>
            <w:pPr>
              <w:pStyle w:val="Compact"/>
            </w:pPr>
            <w:r>
              <w:t xml:space="preserve">Cache, sessions, files d'attente</w:t>
            </w:r>
          </w:p>
        </w:tc>
        <w:tc>
          <w:tcPr/>
          <w:p>
            <w:pPr>
              <w:pStyle w:val="Compact"/>
            </w:pPr>
            <w:r>
              <w:t xml:space="preserve">6379 (127.0.0.1)</w:t>
            </w:r>
          </w:p>
        </w:tc>
      </w:tr>
      <w:tr>
        <w:tc>
          <w:tcPr/>
          <w:p>
            <w:pPr>
              <w:pStyle w:val="Compact"/>
            </w:pPr>
            <w:r>
              <w:rPr>
                <w:b/>
                <w:bCs/>
              </w:rPr>
              <w:t xml:space="preserve">clamav</w:t>
            </w:r>
          </w:p>
        </w:tc>
        <w:tc>
          <w:tcPr/>
          <w:p>
            <w:pPr>
              <w:pStyle w:val="Compact"/>
            </w:pPr>
            <w:r>
              <w:t xml:space="preserve">Sidecar antivirus — analyse de chaque upload avant écriture disque</w:t>
            </w:r>
          </w:p>
        </w:tc>
        <w:tc>
          <w:tcPr/>
          <w:p>
            <w:pPr>
              <w:pStyle w:val="Compact"/>
            </w:pPr>
            <w:r>
              <w:t xml:space="preserve">3310</w:t>
            </w:r>
          </w:p>
        </w:tc>
      </w:tr>
    </w:tbl>
    <w:p>
      <w:pPr>
        <w:pStyle w:val="BodyText"/>
      </w:pPr>
      <w:r>
        <w:t xml:space="preserve">Composants complémentaires propres à la variante isolée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Composant</w:t>
            </w:r>
          </w:p>
        </w:tc>
        <w:tc>
          <w:tcPr/>
          <w:p>
            <w:pPr>
              <w:pStyle w:val="Compact"/>
            </w:pPr>
            <w:r>
              <w:t xml:space="preserve">Rôle</w:t>
            </w:r>
          </w:p>
        </w:tc>
        <w:tc>
          <w:tcPr/>
          <w:p>
            <w:pPr>
              <w:pStyle w:val="Compact"/>
            </w:pPr>
            <w:r>
              <w:t xml:space="preserve">Port interne (indicatif)</w:t>
            </w:r>
          </w:p>
        </w:tc>
      </w:tr>
      <w:tr>
        <w:tc>
          <w:tcPr/>
          <w:p>
            <w:pPr>
              <w:pStyle w:val="Compact"/>
            </w:pPr>
            <w:r>
              <w:rPr>
                <w:b/>
                <w:bCs/>
              </w:rPr>
              <w:t xml:space="preserve">Serveur de transcription GPU</w:t>
            </w:r>
          </w:p>
        </w:tc>
        <w:tc>
          <w:tcPr/>
          <w:p>
            <w:pPr>
              <w:pStyle w:val="Compact"/>
            </w:pPr>
            <w:r>
              <w:t xml:space="preserve">Transcription (whisperX) + diarisation (pyannote.audio) — interroge l'API applicative en</w:t>
            </w:r>
            <w:r>
              <w:t xml:space="preserve"> </w:t>
            </w:r>
            <w:r>
              <w:rPr>
                <w:i/>
                <w:iCs/>
              </w:rPr>
              <w:t xml:space="preserve">pull</w:t>
            </w:r>
          </w:p>
        </w:tc>
        <w:tc>
          <w:tcPr/>
          <w:p>
            <w:pPr>
              <w:pStyle w:val="Compact"/>
            </w:pPr>
            <w:r>
              <w:t xml:space="preserve">client de l'API 443</w:t>
            </w:r>
          </w:p>
        </w:tc>
      </w:tr>
      <w:tr>
        <w:tc>
          <w:tcPr/>
          <w:p>
            <w:pPr>
              <w:pStyle w:val="Compact"/>
            </w:pPr>
            <w:r>
              <w:rPr>
                <w:b/>
                <w:bCs/>
              </w:rPr>
              <w:t xml:space="preserve">Moteur LLM local</w:t>
            </w:r>
          </w:p>
        </w:tc>
        <w:tc>
          <w:tcPr/>
          <w:p>
            <w:pPr>
              <w:pStyle w:val="Compact"/>
            </w:pPr>
            <w:r>
              <w:t xml:space="preserve">Inférence LLM auto-hébergée — serveur vLLM, modèle open-weights Qwen 3.6 ou Mistral</w:t>
            </w:r>
            <w:r>
              <w:t xml:space="preserve"> </w:t>
            </w:r>
            <w:r>
              <w:rPr>
                <w:rStyle w:val="VerbatimChar"/>
              </w:rPr>
              <w:t xml:space="preserve">[versions à confirmer]</w:t>
            </w:r>
            <w:r>
              <w:t xml:space="preserve"> </w:t>
            </w:r>
            <w:r>
              <w:t xml:space="preserve">— pour les fonctions IA</w:t>
            </w:r>
          </w:p>
        </w:tc>
        <w:tc>
          <w:tcPr/>
          <w:p>
            <w:pPr>
              <w:pStyle w:val="Compact"/>
            </w:pPr>
            <w:r>
              <w:rPr>
                <w:rStyle w:val="VerbatimChar"/>
              </w:rPr>
              <w:t xml:space="preserve">8000/TCP (vLLM)</w:t>
            </w:r>
            <w:r>
              <w:t xml:space="preserve"> </w:t>
            </w:r>
            <w:r>
              <w:rPr>
                <w:rStyle w:val="VerbatimChar"/>
              </w:rPr>
              <w:t xml:space="preserve">[à confirmer]</w:t>
            </w:r>
          </w:p>
        </w:tc>
      </w:tr>
    </w:tbl>
    <w:bookmarkEnd w:id="47"/>
    <w:bookmarkStart w:id="48" w:name="Xb0369ac646e7b8d075734a6eeb0e3529ecc4cf5"/>
    <w:p>
      <w:pPr>
        <w:pStyle w:val="Heading3"/>
      </w:pPr>
      <w:r>
        <w:t xml:space="preserve">2.4 Vue sécurité (macro)</w:t>
      </w:r>
    </w:p>
    <w:p>
      <w:pPr>
        <w:pStyle w:val="FirstParagraph"/>
      </w:pPr>
      <w:r>
        <w:t xml:space="preserve">La sécurité s'appuie sur une défense en profondeur, appliquée par le Client sur son infrastructure (l'exploitation on-premise place la maîtrise des contrôles chez le client) :</w:t>
      </w:r>
    </w:p>
    <w:p>
      <w:pPr>
        <w:pStyle w:val="Compact"/>
        <w:numPr>
          <w:ilvl w:val="0"/>
          <w:numId w:val="1014"/>
        </w:numPr>
      </w:pPr>
      <w:r>
        <w:rPr>
          <w:b/>
          <w:bCs/>
        </w:rPr>
        <w:t xml:space="preserve">Cloisonnement réseau :</w:t>
      </w:r>
      <w:r>
        <w:t xml:space="preserve"> </w:t>
      </w:r>
      <w:r>
        <w:t xml:space="preserve">segmentation en VLAN (serveurs applicatifs, administration, stockage/réplication) ; les flux entre segments sont filtrés par le pare-feu du Client.</w:t>
      </w:r>
    </w:p>
    <w:p>
      <w:pPr>
        <w:pStyle w:val="Compact"/>
        <w:numPr>
          <w:ilvl w:val="0"/>
          <w:numId w:val="1014"/>
        </w:numPr>
      </w:pPr>
      <w:r>
        <w:rPr>
          <w:b/>
          <w:bCs/>
        </w:rPr>
        <w:t xml:space="preserve">Exposition minimale :</w:t>
      </w:r>
      <w:r>
        <w:t xml:space="preserve"> </w:t>
      </w:r>
      <w:r>
        <w:t xml:space="preserve">seul le port</w:t>
      </w:r>
      <w:r>
        <w:t xml:space="preserve"> </w:t>
      </w:r>
      <w:r>
        <w:rPr>
          <w:b/>
          <w:bCs/>
        </w:rPr>
        <w:t xml:space="preserve">443/TCP</w:t>
      </w:r>
      <w:r>
        <w:t xml:space="preserve"> </w:t>
      </w:r>
      <w:r>
        <w:t xml:space="preserve">(HTTPS) est exposé aux utilisateurs. Les ports de base de données, cache, WebSocket interne, FastCGI et antivirus ne sont jamais publiés hors de l'hôte / du réseau de conteneurs.</w:t>
      </w:r>
    </w:p>
    <w:p>
      <w:pPr>
        <w:pStyle w:val="Compact"/>
        <w:numPr>
          <w:ilvl w:val="0"/>
          <w:numId w:val="1014"/>
        </w:numPr>
      </w:pPr>
      <w:r>
        <w:rPr>
          <w:b/>
          <w:bCs/>
        </w:rPr>
        <w:t xml:space="preserve">Chiffrement en transit :</w:t>
      </w:r>
      <w:r>
        <w:t xml:space="preserve"> </w:t>
      </w:r>
      <w:r>
        <w:t xml:space="preserve">TLS ≥ 1.2 sur l'accès utilisateur ; TLS interne recommandé pour la réplication inter-salles (voir §11.4).</w:t>
      </w:r>
    </w:p>
    <w:p>
      <w:pPr>
        <w:pStyle w:val="Compact"/>
        <w:numPr>
          <w:ilvl w:val="0"/>
          <w:numId w:val="1014"/>
        </w:numPr>
      </w:pPr>
      <w:r>
        <w:rPr>
          <w:b/>
          <w:bCs/>
        </w:rPr>
        <w:t xml:space="preserve">Chiffrement au repos :</w:t>
      </w:r>
      <w:r>
        <w:t xml:space="preserve"> </w:t>
      </w:r>
      <w:r>
        <w:t xml:space="preserve">sauvegardes systématiquement chiffrées avec</w:t>
      </w:r>
      <w:r>
        <w:t xml:space="preserve"> </w:t>
      </w:r>
      <w:r>
        <w:rPr>
          <w:rStyle w:val="VerbatimChar"/>
        </w:rPr>
        <w:t xml:space="preserve">age</w:t>
      </w:r>
      <w:r>
        <w:t xml:space="preserve"> </w:t>
      </w:r>
      <w:r>
        <w:t xml:space="preserve">(X25519 + ChaCha20-Poly1305) avant tout stockage secondaire ; chiffrement du disque système :</w:t>
      </w:r>
      <w:r>
        <w:t xml:space="preserve"> </w:t>
      </w:r>
      <w:r>
        <w:rPr>
          <w:b/>
          <w:bCs/>
        </w:rPr>
        <w:t xml:space="preserve">recommandation d'implantation</w:t>
      </w:r>
      <w:r>
        <w:t xml:space="preserve"> </w:t>
      </w:r>
      <w:r>
        <w:t xml:space="preserve">adressée au Client sur son infrastructure (LUKS/FDE), à arbitrer selon ses standards.</w:t>
      </w:r>
    </w:p>
    <w:p>
      <w:pPr>
        <w:pStyle w:val="Compact"/>
        <w:numPr>
          <w:ilvl w:val="0"/>
          <w:numId w:val="1014"/>
        </w:numPr>
      </w:pPr>
      <w:r>
        <w:rPr>
          <w:b/>
          <w:bCs/>
        </w:rPr>
        <w:t xml:space="preserve">Authentification et autorisation :</w:t>
      </w:r>
      <w:r>
        <w:t xml:space="preserve"> </w:t>
      </w:r>
      <w:r>
        <w:t xml:space="preserve">comptes nominatifs, mots de passe bcrypt (cost 12), 2FA TOTP (RFC 6238) configurable par rôle, RBAC à 5 niveaux, jetons API Sanctum hashés SHA-256.</w:t>
      </w:r>
    </w:p>
    <w:p>
      <w:pPr>
        <w:pStyle w:val="Compact"/>
        <w:numPr>
          <w:ilvl w:val="0"/>
          <w:numId w:val="1014"/>
        </w:numPr>
      </w:pPr>
      <w:r>
        <w:rPr>
          <w:b/>
          <w:bCs/>
        </w:rPr>
        <w:t xml:space="preserve">Contrôle des contenus :</w:t>
      </w:r>
      <w:r>
        <w:t xml:space="preserve"> </w:t>
      </w:r>
      <w:r>
        <w:t xml:space="preserve">analyse antivirus ClamAV systématique sur chaque upload (limite 2 Go, rejet + alerte, comportement</w:t>
      </w:r>
      <w:r>
        <w:t xml:space="preserve"> </w:t>
      </w:r>
      <w:r>
        <w:rPr>
          <w:i/>
          <w:iCs/>
        </w:rPr>
        <w:t xml:space="preserve">fail-open</w:t>
      </w:r>
      <w:r>
        <w:t xml:space="preserve"> </w:t>
      </w:r>
      <w:r>
        <w:t xml:space="preserve">journalisé).</w:t>
      </w:r>
    </w:p>
    <w:p>
      <w:pPr>
        <w:pStyle w:val="Compact"/>
        <w:numPr>
          <w:ilvl w:val="0"/>
          <w:numId w:val="1014"/>
        </w:numPr>
      </w:pPr>
      <w:r>
        <w:rPr>
          <w:b/>
          <w:bCs/>
        </w:rPr>
        <w:t xml:space="preserve">Anti-SSRF :</w:t>
      </w:r>
      <w:r>
        <w:t xml:space="preserve"> </w:t>
      </w:r>
      <w:r>
        <w:t xml:space="preserve">garde sur les endpoints LLM d'organisation (validation IP, épinglage DNS, blocage des plages privées / metadata / loopback).</w:t>
      </w:r>
    </w:p>
    <w:p>
      <w:pPr>
        <w:pStyle w:val="Compact"/>
        <w:numPr>
          <w:ilvl w:val="0"/>
          <w:numId w:val="1014"/>
        </w:numPr>
      </w:pPr>
      <w:r>
        <w:rPr>
          <w:b/>
          <w:bCs/>
        </w:rPr>
        <w:t xml:space="preserve">Journalisation :</w:t>
      </w:r>
      <w:r>
        <w:t xml:space="preserve"> </w:t>
      </w:r>
      <w:r>
        <w:t xml:space="preserve">audit trail par organisation (</w:t>
      </w:r>
      <w:r>
        <w:rPr>
          <w:rStyle w:val="VerbatimChar"/>
        </w:rPr>
        <w:t xml:space="preserve">activity_logs</w:t>
      </w:r>
      <w:r>
        <w:t xml:space="preserve">) et plateforme (</w:t>
      </w:r>
      <w:r>
        <w:rPr>
          <w:rStyle w:val="VerbatimChar"/>
        </w:rPr>
        <w:t xml:space="preserve">public.audit_logs</w:t>
      </w:r>
      <w:r>
        <w:t xml:space="preserve">), exportable CSV/JSON.</w:t>
      </w:r>
    </w:p>
    <w:p>
      <w:pPr>
        <w:pStyle w:val="Compact"/>
        <w:numPr>
          <w:ilvl w:val="0"/>
          <w:numId w:val="1014"/>
        </w:numPr>
      </w:pPr>
      <w:r>
        <w:rPr>
          <w:b/>
          <w:bCs/>
        </w:rPr>
        <w:t xml:space="preserve">Isolation multi-tenant :</w:t>
      </w:r>
      <w:r>
        <w:t xml:space="preserve"> </w:t>
      </w:r>
      <w:r>
        <w:t xml:space="preserve">un schéma PostgreSQL distinct par organisation.</w:t>
      </w:r>
    </w:p>
    <w:p>
      <w:r>
        <w:pict>
          <v:rect style="width:0;height:1.5pt" o:hralign="center" o:hrstd="t" o:hr="t"/>
        </w:pict>
      </w:r>
    </w:p>
    <w:bookmarkEnd w:id="48"/>
    <w:bookmarkEnd w:id="49"/>
    <w:bookmarkStart w:id="53" w:name="X48e46e40586f014431d47bd1da02da7063d6f0a"/>
    <w:p>
      <w:pPr>
        <w:pStyle w:val="Heading2"/>
      </w:pPr>
      <w:r>
        <w:t xml:space="preserve">3. Architecture de bas niveau (configurations, fonctions implémentées, synoptique de liaison)</w:t>
      </w:r>
    </w:p>
    <w:bookmarkStart w:id="50" w:name="X1f65b7a505ed9f2c619e656facf27abd62c178d"/>
    <w:p>
      <w:pPr>
        <w:pStyle w:val="Heading3"/>
      </w:pPr>
      <w:r>
        <w:t xml:space="preserve">3.1 Fonctions implémentées par composant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Composant</w:t>
            </w:r>
          </w:p>
        </w:tc>
        <w:tc>
          <w:tcPr/>
          <w:p>
            <w:pPr>
              <w:pStyle w:val="Compact"/>
            </w:pPr>
            <w:r>
              <w:t xml:space="preserve">Fonctions implémentées</w:t>
            </w:r>
          </w:p>
        </w:tc>
      </w:tr>
      <w:tr>
        <w:tc>
          <w:tcPr/>
          <w:p>
            <w:pPr>
              <w:pStyle w:val="Compact"/>
            </w:pPr>
            <w:r>
              <w:t xml:space="preserve">nginx</w:t>
            </w:r>
          </w:p>
        </w:tc>
        <w:tc>
          <w:tcPr/>
          <w:p>
            <w:pPr>
              <w:pStyle w:val="Compact"/>
            </w:pPr>
            <w:r>
              <w:t xml:space="preserve">Terminaison HTTP interne ; en-têtes de sécurité (HSTS, X-Frame-Options SAMEORIGIN, X-Content-Type-Options nosniff, Referrer-Policy, CSP, Permissions-Policy) ; compression gzip des réponses JSON ; limite de corps de requête 2500 Mo ; routage</w:t>
            </w:r>
            <w:r>
              <w:t xml:space="preserve"> </w:t>
            </w:r>
            <w:r>
              <w:rPr>
                <w:rStyle w:val="VerbatimChar"/>
              </w:rPr>
              <w:t xml:space="preserve">/api</w:t>
            </w:r>
            <w:r>
              <w:t xml:space="preserve"> </w:t>
            </w:r>
            <w:r>
              <w:t xml:space="preserve">→ app:9000,</w:t>
            </w:r>
            <w:r>
              <w:t xml:space="preserve"> </w:t>
            </w:r>
            <w:r>
              <w:rPr>
                <w:rStyle w:val="VerbatimChar"/>
              </w:rPr>
              <w:t xml:space="preserve">/reverb/</w:t>
            </w:r>
            <w:r>
              <w:t xml:space="preserve"> </w:t>
            </w:r>
            <w:r>
              <w:t xml:space="preserve">→ reverb:8080,</w:t>
            </w:r>
            <w:r>
              <w:t xml:space="preserve"> </w:t>
            </w:r>
            <w:r>
              <w:rPr>
                <w:rStyle w:val="VerbatimChar"/>
              </w:rPr>
              <w:t xml:space="preserve">/</w:t>
            </w:r>
            <w:r>
              <w:t xml:space="preserve"> </w:t>
            </w:r>
            <w:r>
              <w:t xml:space="preserve">→ frontend:5173 ; blocage des extensions exécutables sous</w:t>
            </w:r>
            <w:r>
              <w:t xml:space="preserve"> </w:t>
            </w:r>
            <w:r>
              <w:rPr>
                <w:rStyle w:val="VerbatimChar"/>
              </w:rPr>
              <w:t xml:space="preserve">/storage</w:t>
            </w:r>
          </w:p>
        </w:tc>
      </w:tr>
      <w:tr>
        <w:tc>
          <w:tcPr/>
          <w:p>
            <w:pPr>
              <w:pStyle w:val="Compact"/>
            </w:pPr>
            <w:r>
              <w:t xml:space="preserve">app (Laravel)</w:t>
            </w:r>
          </w:p>
        </w:tc>
        <w:tc>
          <w:tcPr/>
          <w:p>
            <w:pPr>
              <w:pStyle w:val="Compact"/>
            </w:pPr>
            <w:r>
              <w:t xml:space="preserve">API REST versionnée (</w:t>
            </w:r>
            <w:r>
              <w:rPr>
                <w:rStyle w:val="VerbatimChar"/>
              </w:rPr>
              <w:t xml:space="preserve">/api/v1</w:t>
            </w:r>
            <w:r>
              <w:t xml:space="preserve">) ; authentification Sanctum ; middleware</w:t>
            </w:r>
            <w:r>
              <w:t xml:space="preserve"> </w:t>
            </w:r>
            <w:r>
              <w:rPr>
                <w:rStyle w:val="VerbatimChar"/>
              </w:rPr>
              <w:t xml:space="preserve">SetTenantSchema</w:t>
            </w:r>
            <w:r>
              <w:t xml:space="preserve"> </w:t>
            </w:r>
            <w:r>
              <w:t xml:space="preserve">(résolution du tenant →</w:t>
            </w:r>
            <w:r>
              <w:t xml:space="preserve"> </w:t>
            </w:r>
            <w:r>
              <w:rPr>
                <w:rStyle w:val="VerbatimChar"/>
              </w:rPr>
              <w:t xml:space="preserve">SET search_path</w:t>
            </w:r>
            <w:r>
              <w:t xml:space="preserve">) ; RBAC ; rate limiting ; policies ; génération d'URLs signées temporaires (30 min) pour le streaming audio ; orchestration du pipeline de transcription</w:t>
            </w:r>
          </w:p>
        </w:tc>
      </w:tr>
      <w:tr>
        <w:tc>
          <w:tcPr/>
          <w:p>
            <w:pPr>
              <w:pStyle w:val="Compact"/>
            </w:pPr>
            <w:r>
              <w:t xml:space="preserve">queue / queue-ai / queue-media</w:t>
            </w:r>
          </w:p>
        </w:tc>
        <w:tc>
          <w:tcPr/>
          <w:p>
            <w:pPr>
              <w:pStyle w:val="Compact"/>
            </w:pPr>
            <w:r>
              <w:t xml:space="preserve">Traitement asynchrone : exports Word, générations IA, fusion audio (ffmpeg)</w:t>
            </w:r>
          </w:p>
        </w:tc>
      </w:tr>
      <w:tr>
        <w:tc>
          <w:tcPr/>
          <w:p>
            <w:pPr>
              <w:pStyle w:val="Compact"/>
            </w:pPr>
            <w:r>
              <w:t xml:space="preserve">scheduler</w:t>
            </w:r>
          </w:p>
        </w:tc>
        <w:tc>
          <w:tcPr/>
          <w:p>
            <w:pPr>
              <w:pStyle w:val="Compact"/>
            </w:pPr>
            <w:r>
              <w:t xml:space="preserve">Tâches planifiées : nettoyage, sauvegardes, watchdog de reprise des traitements bloqués</w:t>
            </w:r>
          </w:p>
        </w:tc>
      </w:tr>
      <w:tr>
        <w:tc>
          <w:tcPr/>
          <w:p>
            <w:pPr>
              <w:pStyle w:val="Compact"/>
            </w:pPr>
            <w:r>
              <w:t xml:space="preserve">reverb</w:t>
            </w:r>
          </w:p>
        </w:tc>
        <w:tc>
          <w:tcPr/>
          <w:p>
            <w:pPr>
              <w:pStyle w:val="Compact"/>
            </w:pPr>
            <w:r>
              <w:t xml:space="preserve">Diffusion d'événements temps réel (progression de transcription, notifications)</w:t>
            </w:r>
          </w:p>
        </w:tc>
      </w:tr>
      <w:tr>
        <w:tc>
          <w:tcPr/>
          <w:p>
            <w:pPr>
              <w:pStyle w:val="Compact"/>
            </w:pPr>
            <w:r>
              <w:t xml:space="preserve">postgres</w:t>
            </w:r>
          </w:p>
        </w:tc>
        <w:tc>
          <w:tcPr/>
          <w:p>
            <w:pPr>
              <w:pStyle w:val="Compact"/>
            </w:pPr>
            <w:r>
              <w:t xml:space="preserve">Persistance transactionnelle, isolation schéma-par-organisation, réplication en flux (streaming) vers Salle B</w:t>
            </w:r>
          </w:p>
        </w:tc>
      </w:tr>
      <w:tr>
        <w:tc>
          <w:tcPr/>
          <w:p>
            <w:pPr>
              <w:pStyle w:val="Compact"/>
            </w:pPr>
            <w:r>
              <w:t xml:space="preserve">redis</w:t>
            </w:r>
          </w:p>
        </w:tc>
        <w:tc>
          <w:tcPr/>
          <w:p>
            <w:pPr>
              <w:pStyle w:val="Compact"/>
            </w:pPr>
            <w:r>
              <w:t xml:space="preserve">Cache applicatif, stockage des sessions, back-end des files d'attente</w:t>
            </w:r>
          </w:p>
        </w:tc>
      </w:tr>
      <w:tr>
        <w:tc>
          <w:tcPr/>
          <w:p>
            <w:pPr>
              <w:pStyle w:val="Compact"/>
            </w:pPr>
            <w:r>
              <w:t xml:space="preserve">clamav</w:t>
            </w:r>
          </w:p>
        </w:tc>
        <w:tc>
          <w:tcPr/>
          <w:p>
            <w:pPr>
              <w:pStyle w:val="Compact"/>
            </w:pPr>
            <w:r>
              <w:t xml:space="preserve">Analyse antivirus des fichiers déposés, mise à jour des signatures (freshclam ; hors-ligne en environnement isolé — voir dossier d'exploitation)</w:t>
            </w:r>
          </w:p>
        </w:tc>
      </w:tr>
      <w:tr>
        <w:tc>
          <w:tcPr/>
          <w:p>
            <w:pPr>
              <w:pStyle w:val="Compact"/>
            </w:pPr>
            <w:r>
              <w:t xml:space="preserve">Serveur GPU</w:t>
            </w:r>
          </w:p>
        </w:tc>
        <w:tc>
          <w:tcPr/>
          <w:p>
            <w:pPr>
              <w:pStyle w:val="Compact"/>
            </w:pPr>
            <w:r>
              <w:t xml:space="preserve">Transcription whisperX, diarisation pyannote.audio ; interroge</w:t>
            </w:r>
            <w:r>
              <w:t xml:space="preserve"> </w:t>
            </w:r>
            <w:r>
              <w:rPr>
                <w:rStyle w:val="VerbatimChar"/>
              </w:rPr>
              <w:t xml:space="preserve">GET /api/files/pending</w:t>
            </w:r>
            <w:r>
              <w:t xml:space="preserve">, remonte progression et résultat</w:t>
            </w:r>
          </w:p>
        </w:tc>
      </w:tr>
      <w:tr>
        <w:tc>
          <w:tcPr/>
          <w:p>
            <w:pPr>
              <w:pStyle w:val="Compact"/>
            </w:pPr>
            <w:r>
              <w:t xml:space="preserve">LLM local</w:t>
            </w:r>
          </w:p>
        </w:tc>
        <w:tc>
          <w:tcPr/>
          <w:p>
            <w:pPr>
              <w:pStyle w:val="Compact"/>
            </w:pPr>
            <w:r>
              <w:t xml:space="preserve">Inférence pour correction, résumé, PV, chapitrage, suggestion de locuteurs</w:t>
            </w:r>
          </w:p>
        </w:tc>
      </w:tr>
    </w:tbl>
    <w:bookmarkEnd w:id="50"/>
    <w:bookmarkStart w:id="51" w:name="X4c718047b021ddcf825ef6b88184c7e46099498"/>
    <w:p>
      <w:pPr>
        <w:pStyle w:val="Heading3"/>
      </w:pPr>
      <w:r>
        <w:t xml:space="preserve">3.2 Synoptique de liaison entre équipements (Salle A — actif)</w:t>
      </w:r>
    </w:p>
    <w:p>
      <w:pPr>
        <w:pStyle w:val="SourceCode"/>
      </w:pPr>
      <w:r>
        <w:rPr>
          <w:rStyle w:val="VerbatimChar"/>
        </w:rPr>
        <w:t xml:space="preserve">   [ Réseau bureautique / utilisateurs ]</w:t>
      </w:r>
      <w:r>
        <w:br/>
      </w:r>
      <w:r>
        <w:rPr>
          <w:rStyle w:val="VerbatimChar"/>
        </w:rPr>
        <w:t xml:space="preserve">                  │ 443/TCP (HTTPS)</w:t>
      </w:r>
      <w:r>
        <w:br/>
      </w:r>
      <w:r>
        <w:rPr>
          <w:rStyle w:val="VerbatimChar"/>
        </w:rPr>
        <w:t xml:space="preserve">                  ▼</w:t>
      </w:r>
      <w:r>
        <w:br/>
      </w:r>
      <w:r>
        <w:rPr>
          <w:rStyle w:val="VerbatimChar"/>
        </w:rPr>
        <w:t xml:space="preserve">        ┌───────────────────┐</w:t>
      </w:r>
      <w:r>
        <w:br/>
      </w:r>
      <w:r>
        <w:rPr>
          <w:rStyle w:val="VerbatimChar"/>
        </w:rPr>
        <w:t xml:space="preserve">        │  Pare-feu / LB     │  (équipement Client)</w:t>
      </w:r>
      <w:r>
        <w:br/>
      </w:r>
      <w:r>
        <w:rPr>
          <w:rStyle w:val="VerbatimChar"/>
        </w:rPr>
        <w:t xml:space="preserve">        └─────────┬─────────┘</w:t>
      </w:r>
      <w:r>
        <w:br/>
      </w:r>
      <w:r>
        <w:rPr>
          <w:rStyle w:val="VerbatimChar"/>
        </w:rPr>
        <w:t xml:space="preserve">                  │ 443/TCP</w:t>
      </w:r>
      <w:r>
        <w:br/>
      </w:r>
      <w:r>
        <w:rPr>
          <w:rStyle w:val="VerbatimChar"/>
        </w:rPr>
        <w:t xml:space="preserve">                  ▼</w:t>
      </w:r>
      <w:r>
        <w:br/>
      </w:r>
      <w:r>
        <w:rPr>
          <w:rStyle w:val="VerbatimChar"/>
        </w:rPr>
        <w:t xml:space="preserve">   ┌──────────────────────────────────────────────┐</w:t>
      </w:r>
      <w:r>
        <w:br/>
      </w:r>
      <w:r>
        <w:rPr>
          <w:rStyle w:val="VerbatimChar"/>
        </w:rPr>
        <w:t xml:space="preserve">   │        SERVEUR APPLICATIF (hôte Docker)       │</w:t>
      </w:r>
      <w:r>
        <w:br/>
      </w:r>
      <w:r>
        <w:rPr>
          <w:rStyle w:val="VerbatimChar"/>
        </w:rPr>
        <w:t xml:space="preserve">   │  ┌────────┐   9000    ┌────────┐              │</w:t>
      </w:r>
      <w:r>
        <w:br/>
      </w:r>
      <w:r>
        <w:rPr>
          <w:rStyle w:val="VerbatimChar"/>
        </w:rPr>
        <w:t xml:space="preserve">   │  │ nginx  ├──────────►│  app   │              │</w:t>
      </w:r>
      <w:r>
        <w:br/>
      </w:r>
      <w:r>
        <w:rPr>
          <w:rStyle w:val="VerbatimChar"/>
        </w:rPr>
        <w:t xml:space="preserve">   │  │        ├──5173────►│frontend│              │</w:t>
      </w:r>
      <w:r>
        <w:br/>
      </w:r>
      <w:r>
        <w:rPr>
          <w:rStyle w:val="VerbatimChar"/>
        </w:rPr>
        <w:t xml:space="preserve">   │  │        ├──8080────►│ reverb │              │</w:t>
      </w:r>
      <w:r>
        <w:br/>
      </w:r>
      <w:r>
        <w:rPr>
          <w:rStyle w:val="VerbatimChar"/>
        </w:rPr>
        <w:t xml:space="preserve">   │  └────────┘           └───┬────┘              │</w:t>
      </w:r>
      <w:r>
        <w:br/>
      </w:r>
      <w:r>
        <w:rPr>
          <w:rStyle w:val="VerbatimChar"/>
        </w:rPr>
        <w:t xml:space="preserve">   │                    5432   │   6379   3310     │</w:t>
      </w:r>
      <w:r>
        <w:br/>
      </w:r>
      <w:r>
        <w:rPr>
          <w:rStyle w:val="VerbatimChar"/>
        </w:rPr>
        <w:t xml:space="preserve">   │            ┌──────────────┼─────────┬──────┐  │</w:t>
      </w:r>
      <w:r>
        <w:br/>
      </w:r>
      <w:r>
        <w:rPr>
          <w:rStyle w:val="VerbatimChar"/>
        </w:rPr>
        <w:t xml:space="preserve">   │            ▼              ▼         ▼      ▼  │</w:t>
      </w:r>
      <w:r>
        <w:br/>
      </w:r>
      <w:r>
        <w:rPr>
          <w:rStyle w:val="VerbatimChar"/>
        </w:rPr>
        <w:t xml:space="preserve">   │      ┌─────────┐   ┌──────────┐ ┌───────┐    │</w:t>
      </w:r>
      <w:r>
        <w:br/>
      </w:r>
      <w:r>
        <w:rPr>
          <w:rStyle w:val="VerbatimChar"/>
        </w:rPr>
        <w:t xml:space="preserve">   │      │postgres │   │  redis   │ │clamav │    │</w:t>
      </w:r>
      <w:r>
        <w:br/>
      </w:r>
      <w:r>
        <w:rPr>
          <w:rStyle w:val="VerbatimChar"/>
        </w:rPr>
        <w:t xml:space="preserve">   │      └────┬────┘   └──────────┘ └───────┘    │</w:t>
      </w:r>
      <w:r>
        <w:br/>
      </w:r>
      <w:r>
        <w:rPr>
          <w:rStyle w:val="VerbatimChar"/>
        </w:rPr>
        <w:t xml:space="preserve">   └───────────┼──────────────────────────────────┘</w:t>
      </w:r>
      <w:r>
        <w:br/>
      </w:r>
      <w:r>
        <w:rPr>
          <w:rStyle w:val="VerbatimChar"/>
        </w:rPr>
        <w:t xml:space="preserve">               │ 5432/TCP réplication streaming (async) → Salle B</w:t>
      </w:r>
      <w:r>
        <w:br/>
      </w:r>
      <w:r>
        <w:rPr>
          <w:rStyle w:val="VerbatimChar"/>
        </w:rPr>
        <w:t xml:space="preserve">               │</w:t>
      </w:r>
      <w:r>
        <w:br/>
      </w:r>
      <w:r>
        <w:rPr>
          <w:rStyle w:val="VerbatimChar"/>
        </w:rPr>
        <w:t xml:space="preserve">   ┌───────────┴──────────────────────────────────┐</w:t>
      </w:r>
      <w:r>
        <w:br/>
      </w:r>
      <w:r>
        <w:rPr>
          <w:rStyle w:val="VerbatimChar"/>
        </w:rPr>
        <w:t xml:space="preserve">   │        SERVEUR GPU (transcription + LLM)       │</w:t>
      </w:r>
      <w:r>
        <w:br/>
      </w:r>
      <w:r>
        <w:rPr>
          <w:rStyle w:val="VerbatimChar"/>
        </w:rPr>
        <w:t xml:space="preserve">   │   ┌────────────┐        ┌──────────────────┐   │</w:t>
      </w:r>
      <w:r>
        <w:br/>
      </w:r>
      <w:r>
        <w:rPr>
          <w:rStyle w:val="VerbatimChar"/>
        </w:rPr>
        <w:t xml:space="preserve">   │   │ transcript.│──443──►│  API app (poll)  │   │</w:t>
      </w:r>
      <w:r>
        <w:br/>
      </w:r>
      <w:r>
        <w:rPr>
          <w:rStyle w:val="VerbatimChar"/>
        </w:rPr>
        <w:t xml:space="preserve">   │   │ (whisperX+ │◄──────►│                  │   │</w:t>
      </w:r>
      <w:r>
        <w:br/>
      </w:r>
      <w:r>
        <w:rPr>
          <w:rStyle w:val="VerbatimChar"/>
        </w:rPr>
        <w:t xml:space="preserve">   │   │ pyannote)  │        └──────────────────┘   │</w:t>
      </w:r>
      <w:r>
        <w:br/>
      </w:r>
      <w:r>
        <w:rPr>
          <w:rStyle w:val="VerbatimChar"/>
        </w:rPr>
        <w:t xml:space="preserve">   │   │ LLM local  │◄──[ex.8000]── app (requêtes IA)│</w:t>
      </w:r>
      <w:r>
        <w:br/>
      </w:r>
      <w:r>
        <w:rPr>
          <w:rStyle w:val="VerbatimChar"/>
        </w:rPr>
        <w:t xml:space="preserve">   │   └────────────┘                                │</w:t>
      </w:r>
      <w:r>
        <w:br/>
      </w:r>
      <w:r>
        <w:rPr>
          <w:rStyle w:val="VerbatimChar"/>
        </w:rPr>
        <w:t xml:space="preserve">   └───────────────────────────────────────────────┘</w:t>
      </w:r>
    </w:p>
    <w:p>
      <w:pPr>
        <w:pStyle w:val="FirstParagraph"/>
      </w:pPr>
      <w:r>
        <w:rPr>
          <w:i/>
          <w:iCs/>
        </w:rPr>
        <w:t xml:space="preserve">Ce synoptique sera remis au format Microsoft Visio (.vsdx) lors de la phase d'implantation, complété des éléments propres au site.</w:t>
      </w:r>
    </w:p>
    <w:bookmarkEnd w:id="51"/>
    <w:bookmarkStart w:id="52" w:name="X4a70102ccb627c87587d24a9ae8819a917780ab"/>
    <w:p>
      <w:pPr>
        <w:pStyle w:val="Heading3"/>
      </w:pPr>
      <w:r>
        <w:t xml:space="preserve">3.3 Configuration de conteneurisation</w:t>
      </w:r>
    </w:p>
    <w:p>
      <w:pPr>
        <w:pStyle w:val="Compact"/>
        <w:numPr>
          <w:ilvl w:val="0"/>
          <w:numId w:val="1015"/>
        </w:numPr>
      </w:pPr>
      <w:r>
        <w:t xml:space="preserve">Orchestration</w:t>
      </w:r>
      <w:r>
        <w:t xml:space="preserve"> </w:t>
      </w:r>
      <w:r>
        <w:rPr>
          <w:b/>
          <w:bCs/>
        </w:rPr>
        <w:t xml:space="preserve">Docker Compose</w:t>
      </w:r>
      <w:r>
        <w:t xml:space="preserve"> </w:t>
      </w:r>
      <w:r>
        <w:t xml:space="preserve">; chaque service est isolé, avec limites de ressources (mémoire/CPU) définies.</w:t>
      </w:r>
    </w:p>
    <w:p>
      <w:pPr>
        <w:pStyle w:val="Compact"/>
        <w:numPr>
          <w:ilvl w:val="0"/>
          <w:numId w:val="1015"/>
        </w:numPr>
      </w:pPr>
      <w:r>
        <w:t xml:space="preserve">Durcissement des conteneurs :</w:t>
      </w:r>
      <w:r>
        <w:t xml:space="preserve"> </w:t>
      </w:r>
      <w:r>
        <w:rPr>
          <w:rStyle w:val="VerbatimChar"/>
        </w:rPr>
        <w:t xml:space="preserve">no-new-privileges:true</w:t>
      </w:r>
      <w:r>
        <w:t xml:space="preserve">,</w:t>
      </w:r>
      <w:r>
        <w:t xml:space="preserve"> </w:t>
      </w:r>
      <w:r>
        <w:rPr>
          <w:rStyle w:val="VerbatimChar"/>
        </w:rPr>
        <w:t xml:space="preserve">cap_drop: ALL</w:t>
      </w:r>
      <w:r>
        <w:t xml:space="preserve"> </w:t>
      </w:r>
      <w:r>
        <w:t xml:space="preserve">(nginx ne conserve que</w:t>
      </w:r>
      <w:r>
        <w:t xml:space="preserve"> </w:t>
      </w:r>
      <w:r>
        <w:rPr>
          <w:rStyle w:val="VerbatimChar"/>
        </w:rPr>
        <w:t xml:space="preserve">NET_BIND_SERVICE</w:t>
      </w:r>
      <w:r>
        <w:t xml:space="preserve">,</w:t>
      </w:r>
      <w:r>
        <w:t xml:space="preserve"> </w:t>
      </w:r>
      <w:r>
        <w:rPr>
          <w:rStyle w:val="VerbatimChar"/>
        </w:rPr>
        <w:t xml:space="preserve">CHOWN</w:t>
      </w:r>
      <w:r>
        <w:t xml:space="preserve">,</w:t>
      </w:r>
      <w:r>
        <w:t xml:space="preserve"> </w:t>
      </w:r>
      <w:r>
        <w:rPr>
          <w:rStyle w:val="VerbatimChar"/>
        </w:rPr>
        <w:t xml:space="preserve">SETUID</w:t>
      </w:r>
      <w:r>
        <w:t xml:space="preserve">,</w:t>
      </w:r>
      <w:r>
        <w:t xml:space="preserve"> </w:t>
      </w:r>
      <w:r>
        <w:rPr>
          <w:rStyle w:val="VerbatimChar"/>
        </w:rPr>
        <w:t xml:space="preserve">SETGID</w:t>
      </w:r>
      <w:r>
        <w:t xml:space="preserve">), systèmes de fichiers en lecture seule là où applicable,</w:t>
      </w:r>
      <w:r>
        <w:t xml:space="preserve"> </w:t>
      </w:r>
      <w:r>
        <w:rPr>
          <w:rStyle w:val="VerbatimChar"/>
        </w:rPr>
        <w:t xml:space="preserve">tmpfs</w:t>
      </w:r>
      <w:r>
        <w:t xml:space="preserve"> </w:t>
      </w:r>
      <w:r>
        <w:t xml:space="preserve">pour les répertoires temporaires.</w:t>
      </w:r>
    </w:p>
    <w:p>
      <w:pPr>
        <w:pStyle w:val="Compact"/>
        <w:numPr>
          <w:ilvl w:val="0"/>
          <w:numId w:val="1015"/>
        </w:numPr>
      </w:pPr>
      <w:r>
        <w:t xml:space="preserve">Réseau Docker de type</w:t>
      </w:r>
      <w:r>
        <w:t xml:space="preserve"> </w:t>
      </w:r>
      <w:r>
        <w:rPr>
          <w:i/>
          <w:iCs/>
        </w:rPr>
        <w:t xml:space="preserve">bridge</w:t>
      </w:r>
      <w:r>
        <w:t xml:space="preserve"> </w:t>
      </w:r>
      <w:r>
        <w:t xml:space="preserve">interne : les services communiquent par leurs noms de service ; seul nginx est raccordé au réseau exposé.</w:t>
      </w:r>
    </w:p>
    <w:p>
      <w:pPr>
        <w:pStyle w:val="Compact"/>
        <w:numPr>
          <w:ilvl w:val="0"/>
          <w:numId w:val="1015"/>
        </w:numPr>
      </w:pPr>
      <w:r>
        <w:t xml:space="preserve">Journaux conteneurs en rotation (</w:t>
      </w:r>
      <w:r>
        <w:rPr>
          <w:rStyle w:val="VerbatimChar"/>
        </w:rPr>
        <w:t xml:space="preserve">json-file</w:t>
      </w:r>
      <w:r>
        <w:t xml:space="preserve">, max 10 Mo × 3 fichiers par service).</w:t>
      </w:r>
    </w:p>
    <w:p>
      <w:r>
        <w:pict>
          <v:rect style="width:0;height:1.5pt" o:hralign="center" o:hrstd="t" o:hr="t"/>
        </w:pict>
      </w:r>
    </w:p>
    <w:bookmarkEnd w:id="52"/>
    <w:bookmarkEnd w:id="53"/>
    <w:bookmarkStart w:id="59" w:name="X21cfb65e0693a6c2cc823cf29069705eca75efb"/>
    <w:p>
      <w:pPr>
        <w:pStyle w:val="Heading2"/>
      </w:pPr>
      <w:r>
        <w:t xml:space="preserve">4. Synoptique détaillé de l'architecture</w:t>
      </w:r>
    </w:p>
    <w:p>
      <w:pPr>
        <w:pStyle w:val="FirstParagraph"/>
      </w:pPr>
      <w:r>
        <w:drawing>
          <wp:inline>
            <wp:extent cx="5334000" cy="1416473"/>
            <wp:effectExtent b="0" l="0" r="0" t="0"/>
            <wp:docPr descr="Synoptique détaillé de l'architecture" title="" id="55" name="Picture"/>
            <a:graphic>
              <a:graphicData uri="http://schemas.openxmlformats.org/drawingml/2006/picture">
                <pic:pic>
                  <pic:nvPicPr>
                    <pic:cNvPr descr="img/synoptique.png" id="56" name="Picture"/>
                    <pic:cNvPicPr>
                      <a:picLocks noChangeArrowheads="1" noChangeAspect="1"/>
                    </pic:cNvPicPr>
                  </pic:nvPicPr>
                  <pic:blipFill>
                    <a:blip r:embed="rId54"/>
                    <a:stretch>
                      <a:fillRect/>
                    </a:stretch>
                  </pic:blipFill>
                  <pic:spPr bwMode="auto">
                    <a:xfrm>
                      <a:off x="0" y="0"/>
                      <a:ext cx="5334000" cy="1416473"/>
                    </a:xfrm>
                    <a:prstGeom prst="rect">
                      <a:avLst/>
                    </a:prstGeom>
                    <a:noFill/>
                    <a:ln w="9525">
                      <a:noFill/>
                      <a:headEnd/>
                      <a:tailEnd/>
                    </a:ln>
                  </pic:spPr>
                </pic:pic>
              </a:graphicData>
            </a:graphic>
          </wp:inline>
        </w:drawing>
      </w:r>
    </w:p>
    <w:p>
      <w:pPr>
        <w:pStyle w:val="BodyText"/>
      </w:pPr>
      <w:r>
        <w:rPr>
          <w:i/>
          <w:iCs/>
        </w:rPr>
        <w:t xml:space="preserve">Figure 1 — Synoptique détaillé de l'architecture on-premise à deux salles (Salle A, site principal actif / Salle B, site de secours passif), composants et interconnexions (version Visio .vsdx remise en phase d'implantation).</w:t>
      </w:r>
    </w:p>
    <w:bookmarkStart w:id="57" w:name="Xe9ffeb358ec97d2e6a18372b40619bebe3b55e3"/>
    <w:p>
      <w:pPr>
        <w:pStyle w:val="Heading3"/>
      </w:pPr>
      <w:r>
        <w:t xml:space="preserve">4.1 Inventaire des composants et localisation</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w:t>
            </w:r>
          </w:p>
        </w:tc>
        <w:tc>
          <w:tcPr/>
          <w:p>
            <w:pPr>
              <w:pStyle w:val="Compact"/>
            </w:pPr>
            <w:r>
              <w:t xml:space="preserve">Composant</w:t>
            </w:r>
          </w:p>
        </w:tc>
        <w:tc>
          <w:tcPr/>
          <w:p>
            <w:pPr>
              <w:pStyle w:val="Compact"/>
            </w:pPr>
            <w:r>
              <w:t xml:space="preserve">Salle</w:t>
            </w:r>
          </w:p>
        </w:tc>
        <w:tc>
          <w:tcPr/>
          <w:p>
            <w:pPr>
              <w:pStyle w:val="Compact"/>
            </w:pPr>
            <w:r>
              <w:t xml:space="preserve">Baie</w:t>
            </w:r>
          </w:p>
        </w:tc>
        <w:tc>
          <w:tcPr/>
          <w:p>
            <w:pPr>
              <w:pStyle w:val="Compact"/>
            </w:pPr>
            <w:r>
              <w:t xml:space="preserve">Rôle</w:t>
            </w:r>
          </w:p>
        </w:tc>
        <w:tc>
          <w:tcPr/>
          <w:p>
            <w:pPr>
              <w:pStyle w:val="Compact"/>
            </w:pPr>
            <w:r>
              <w:t xml:space="preserve">Alimentation</w:t>
            </w:r>
          </w:p>
        </w:tc>
      </w:tr>
      <w:tr>
        <w:tc>
          <w:tcPr/>
          <w:p>
            <w:pPr>
              <w:pStyle w:val="Compact"/>
            </w:pPr>
            <w:r>
              <w:t xml:space="preserve">1</w:t>
            </w:r>
          </w:p>
        </w:tc>
        <w:tc>
          <w:tcPr/>
          <w:p>
            <w:pPr>
              <w:pStyle w:val="Compact"/>
            </w:pPr>
            <w:r>
              <w:t xml:space="preserve">Serveur applicatif (actif)</w:t>
            </w:r>
          </w:p>
        </w:tc>
        <w:tc>
          <w:tcPr/>
          <w:p>
            <w:pPr>
              <w:pStyle w:val="Compact"/>
            </w:pPr>
            <w:r>
              <w:t xml:space="preserve">Salle A</w:t>
            </w:r>
          </w:p>
        </w:tc>
        <w:tc>
          <w:tcPr/>
          <w:p>
            <w:pPr>
              <w:pStyle w:val="Compact"/>
            </w:pPr>
            <w:r>
              <w:rPr>
                <w:rStyle w:val="VerbatimChar"/>
              </w:rPr>
              <w:t xml:space="preserve">[À RENSEIGNER]</w:t>
            </w:r>
          </w:p>
        </w:tc>
        <w:tc>
          <w:tcPr/>
          <w:p>
            <w:pPr>
              <w:pStyle w:val="Compact"/>
            </w:pPr>
            <w:r>
              <w:t xml:space="preserve">Stack Docker TranscribIA (prod)</w:t>
            </w:r>
          </w:p>
        </w:tc>
        <w:tc>
          <w:tcPr/>
          <w:p>
            <w:pPr>
              <w:pStyle w:val="Compact"/>
            </w:pPr>
            <w:r>
              <w:t xml:space="preserve">Onduleur A</w:t>
            </w:r>
            <w:r>
              <w:t xml:space="preserve"> </w:t>
            </w:r>
            <w:r>
              <w:rPr>
                <w:rStyle w:val="VerbatimChar"/>
              </w:rPr>
              <w:t xml:space="preserve">[À RENSEIGNER]</w:t>
            </w:r>
          </w:p>
        </w:tc>
      </w:tr>
      <w:tr>
        <w:tc>
          <w:tcPr/>
          <w:p>
            <w:pPr>
              <w:pStyle w:val="Compact"/>
            </w:pPr>
            <w:r>
              <w:t xml:space="preserve">2</w:t>
            </w:r>
          </w:p>
        </w:tc>
        <w:tc>
          <w:tcPr/>
          <w:p>
            <w:pPr>
              <w:pStyle w:val="Compact"/>
            </w:pPr>
            <w:r>
              <w:t xml:space="preserve">Serveur GPU transcription/LLM (actif)</w:t>
            </w:r>
          </w:p>
        </w:tc>
        <w:tc>
          <w:tcPr/>
          <w:p>
            <w:pPr>
              <w:pStyle w:val="Compact"/>
            </w:pPr>
            <w:r>
              <w:t xml:space="preserve">Salle A</w:t>
            </w:r>
          </w:p>
        </w:tc>
        <w:tc>
          <w:tcPr/>
          <w:p>
            <w:pPr>
              <w:pStyle w:val="Compact"/>
            </w:pPr>
            <w:r>
              <w:rPr>
                <w:rStyle w:val="VerbatimChar"/>
              </w:rPr>
              <w:t xml:space="preserve">[À RENSEIGNER]</w:t>
            </w:r>
          </w:p>
        </w:tc>
        <w:tc>
          <w:tcPr/>
          <w:p>
            <w:pPr>
              <w:pStyle w:val="Compact"/>
            </w:pPr>
            <w:r>
              <w:t xml:space="preserve">Transcription + inférence LLM</w:t>
            </w:r>
          </w:p>
        </w:tc>
        <w:tc>
          <w:tcPr/>
          <w:p>
            <w:pPr>
              <w:pStyle w:val="Compact"/>
            </w:pPr>
            <w:r>
              <w:t xml:space="preserve">Onduleur A</w:t>
            </w:r>
            <w:r>
              <w:t xml:space="preserve"> </w:t>
            </w:r>
            <w:r>
              <w:rPr>
                <w:rStyle w:val="VerbatimChar"/>
              </w:rPr>
              <w:t xml:space="preserve">[À RENSEIGNER]</w:t>
            </w:r>
          </w:p>
        </w:tc>
      </w:tr>
      <w:tr>
        <w:tc>
          <w:tcPr/>
          <w:p>
            <w:pPr>
              <w:pStyle w:val="Compact"/>
            </w:pPr>
            <w:r>
              <w:t xml:space="preserve">3</w:t>
            </w:r>
          </w:p>
        </w:tc>
        <w:tc>
          <w:tcPr/>
          <w:p>
            <w:pPr>
              <w:pStyle w:val="Compact"/>
            </w:pPr>
            <w:r>
              <w:t xml:space="preserve">Serveur applicatif (secours)</w:t>
            </w:r>
          </w:p>
        </w:tc>
        <w:tc>
          <w:tcPr/>
          <w:p>
            <w:pPr>
              <w:pStyle w:val="Compact"/>
            </w:pPr>
            <w:r>
              <w:t xml:space="preserve">Salle B</w:t>
            </w:r>
          </w:p>
        </w:tc>
        <w:tc>
          <w:tcPr/>
          <w:p>
            <w:pPr>
              <w:pStyle w:val="Compact"/>
            </w:pPr>
            <w:r>
              <w:rPr>
                <w:rStyle w:val="VerbatimChar"/>
              </w:rPr>
              <w:t xml:space="preserve">[À RENSEIGNER]</w:t>
            </w:r>
          </w:p>
        </w:tc>
        <w:tc>
          <w:tcPr/>
          <w:p>
            <w:pPr>
              <w:pStyle w:val="Compact"/>
            </w:pPr>
            <w:r>
              <w:t xml:space="preserve">Stack Docker TranscribIA (standby)</w:t>
            </w:r>
          </w:p>
        </w:tc>
        <w:tc>
          <w:tcPr/>
          <w:p>
            <w:pPr>
              <w:pStyle w:val="Compact"/>
            </w:pPr>
            <w:r>
              <w:t xml:space="preserve">Onduleur B</w:t>
            </w:r>
            <w:r>
              <w:t xml:space="preserve"> </w:t>
            </w:r>
            <w:r>
              <w:rPr>
                <w:rStyle w:val="VerbatimChar"/>
              </w:rPr>
              <w:t xml:space="preserve">[À RENSEIGNER]</w:t>
            </w:r>
          </w:p>
        </w:tc>
      </w:tr>
      <w:tr>
        <w:tc>
          <w:tcPr/>
          <w:p>
            <w:pPr>
              <w:pStyle w:val="Compact"/>
            </w:pPr>
            <w:r>
              <w:t xml:space="preserve">4</w:t>
            </w:r>
          </w:p>
        </w:tc>
        <w:tc>
          <w:tcPr/>
          <w:p>
            <w:pPr>
              <w:pStyle w:val="Compact"/>
            </w:pPr>
            <w:r>
              <w:t xml:space="preserve">Serveur GPU transcription/LLM (secours)</w:t>
            </w:r>
          </w:p>
        </w:tc>
        <w:tc>
          <w:tcPr/>
          <w:p>
            <w:pPr>
              <w:pStyle w:val="Compact"/>
            </w:pPr>
            <w:r>
              <w:t xml:space="preserve">Salle B</w:t>
            </w:r>
          </w:p>
        </w:tc>
        <w:tc>
          <w:tcPr/>
          <w:p>
            <w:pPr>
              <w:pStyle w:val="Compact"/>
            </w:pPr>
            <w:r>
              <w:rPr>
                <w:rStyle w:val="VerbatimChar"/>
              </w:rPr>
              <w:t xml:space="preserve">[À RENSEIGNER]</w:t>
            </w:r>
          </w:p>
        </w:tc>
        <w:tc>
          <w:tcPr/>
          <w:p>
            <w:pPr>
              <w:pStyle w:val="Compact"/>
            </w:pPr>
            <w:r>
              <w:t xml:space="preserve">Transcription + inférence LLM (standby)</w:t>
            </w:r>
          </w:p>
        </w:tc>
        <w:tc>
          <w:tcPr/>
          <w:p>
            <w:pPr>
              <w:pStyle w:val="Compact"/>
            </w:pPr>
            <w:r>
              <w:t xml:space="preserve">Onduleur B</w:t>
            </w:r>
            <w:r>
              <w:t xml:space="preserve"> </w:t>
            </w:r>
            <w:r>
              <w:rPr>
                <w:rStyle w:val="VerbatimChar"/>
              </w:rPr>
              <w:t xml:space="preserve">[À RENSEIGNER]</w:t>
            </w:r>
          </w:p>
        </w:tc>
      </w:tr>
      <w:tr>
        <w:tc>
          <w:tcPr/>
          <w:p>
            <w:pPr>
              <w:pStyle w:val="Compact"/>
            </w:pPr>
            <w:r>
              <w:t xml:space="preserve">5</w:t>
            </w:r>
          </w:p>
        </w:tc>
        <w:tc>
          <w:tcPr/>
          <w:p>
            <w:pPr>
              <w:pStyle w:val="Compact"/>
            </w:pPr>
            <w:r>
              <w:t xml:space="preserve">Stockage de sauvegarde</w:t>
            </w:r>
          </w:p>
        </w:tc>
        <w:tc>
          <w:tcPr/>
          <w:p>
            <w:pPr>
              <w:pStyle w:val="Compact"/>
            </w:pPr>
            <w:r>
              <w:rPr>
                <w:rStyle w:val="VerbatimChar"/>
              </w:rPr>
              <w:t xml:space="preserve">[À RENSEIGNER : Salle A/Salle B/tiers]</w:t>
            </w:r>
          </w:p>
        </w:tc>
        <w:tc>
          <w:tcPr/>
          <w:p>
            <w:pPr>
              <w:pStyle w:val="Compact"/>
            </w:pPr>
            <w:r>
              <w:rPr>
                <w:rStyle w:val="VerbatimChar"/>
              </w:rPr>
              <w:t xml:space="preserve">[À RENSEIGNER]</w:t>
            </w:r>
          </w:p>
        </w:tc>
        <w:tc>
          <w:tcPr/>
          <w:p>
            <w:pPr>
              <w:pStyle w:val="Compact"/>
            </w:pPr>
            <w:r>
              <w:t xml:space="preserve">Dépôt des sauvegardes chiffrées</w:t>
            </w:r>
          </w:p>
        </w:tc>
        <w:tc>
          <w:tcPr/>
          <w:p>
            <w:pPr>
              <w:pStyle w:val="Compact"/>
            </w:pPr>
            <w:r>
              <w:rPr>
                <w:rStyle w:val="VerbatimChar"/>
              </w:rPr>
              <w:t xml:space="preserve">[À RENSEIGNER]</w:t>
            </w:r>
          </w:p>
        </w:tc>
      </w:tr>
      <w:tr>
        <w:tc>
          <w:tcPr/>
          <w:p>
            <w:pPr>
              <w:pStyle w:val="Compact"/>
            </w:pPr>
            <w:r>
              <w:t xml:space="preserve">6</w:t>
            </w:r>
          </w:p>
        </w:tc>
        <w:tc>
          <w:tcPr/>
          <w:p>
            <w:pPr>
              <w:pStyle w:val="Compact"/>
            </w:pPr>
            <w:r>
              <w:t xml:space="preserve">Commutateurs / pare-feu</w:t>
            </w:r>
          </w:p>
        </w:tc>
        <w:tc>
          <w:tcPr/>
          <w:p>
            <w:pPr>
              <w:pStyle w:val="Compact"/>
            </w:pPr>
            <w:r>
              <w:t xml:space="preserve">Salle A + Salle B</w:t>
            </w:r>
          </w:p>
        </w:tc>
        <w:tc>
          <w:tcPr/>
          <w:p>
            <w:pPr>
              <w:pStyle w:val="Compact"/>
            </w:pPr>
            <w:r>
              <w:rPr>
                <w:rStyle w:val="VerbatimChar"/>
              </w:rPr>
              <w:t xml:space="preserve">[À RENSEIGNER]</w:t>
            </w:r>
          </w:p>
        </w:tc>
        <w:tc>
          <w:tcPr/>
          <w:p>
            <w:pPr>
              <w:pStyle w:val="Compact"/>
            </w:pPr>
            <w:r>
              <w:t xml:space="preserve">Segmentation, filtrage, liaison inter-salles</w:t>
            </w:r>
          </w:p>
        </w:tc>
        <w:tc>
          <w:tcPr/>
          <w:p>
            <w:pPr>
              <w:pStyle w:val="Compact"/>
            </w:pPr>
            <w:r>
              <w:rPr>
                <w:rStyle w:val="VerbatimChar"/>
              </w:rPr>
              <w:t xml:space="preserve">[À RENSEIGNER]</w:t>
            </w:r>
          </w:p>
        </w:tc>
      </w:tr>
    </w:tbl>
    <w:p>
      <w:pPr>
        <w:pStyle w:val="BlockText"/>
      </w:pPr>
      <w:r>
        <w:t xml:space="preserve">Les emplacements précis en baie, l'affectation aux onduleurs et le positionnement du stockage de sauvegarde sont</w:t>
      </w:r>
      <w:r>
        <w:t xml:space="preserve"> </w:t>
      </w:r>
      <w:r>
        <w:rPr>
          <w:rStyle w:val="VerbatimChar"/>
        </w:rPr>
        <w:t xml:space="preserve">[À RENSEIGNER avec la DSI du Client]</w:t>
      </w:r>
      <w:r>
        <w:t xml:space="preserve">.</w:t>
      </w:r>
    </w:p>
    <w:bookmarkEnd w:id="57"/>
    <w:bookmarkStart w:id="58" w:name="X532d50cc4356b72c72984c82ec10b8c81e7aea9"/>
    <w:p>
      <w:pPr>
        <w:pStyle w:val="Heading3"/>
      </w:pPr>
      <w:r>
        <w:t xml:space="preserve">4.2 Interconnexions logiques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Lien</w:t>
            </w:r>
          </w:p>
        </w:tc>
        <w:tc>
          <w:tcPr/>
          <w:p>
            <w:pPr>
              <w:pStyle w:val="Compact"/>
            </w:pPr>
            <w:r>
              <w:t xml:space="preserve">De</w:t>
            </w:r>
          </w:p>
        </w:tc>
        <w:tc>
          <w:tcPr/>
          <w:p>
            <w:pPr>
              <w:pStyle w:val="Compact"/>
            </w:pPr>
            <w:r>
              <w:t xml:space="preserve">Vers</w:t>
            </w:r>
          </w:p>
        </w:tc>
        <w:tc>
          <w:tcPr/>
          <w:p>
            <w:pPr>
              <w:pStyle w:val="Compact"/>
            </w:pPr>
            <w:r>
              <w:t xml:space="preserve">Nature</w:t>
            </w:r>
          </w:p>
        </w:tc>
        <w:tc>
          <w:tcPr/>
          <w:p>
            <w:pPr>
              <w:pStyle w:val="Compact"/>
            </w:pPr>
            <w:r>
              <w:t xml:space="preserve">Sécurité</w:t>
            </w:r>
          </w:p>
        </w:tc>
      </w:tr>
      <w:tr>
        <w:tc>
          <w:tcPr/>
          <w:p>
            <w:pPr>
              <w:pStyle w:val="Compact"/>
            </w:pPr>
            <w:r>
              <w:t xml:space="preserve">L1</w:t>
            </w:r>
          </w:p>
        </w:tc>
        <w:tc>
          <w:tcPr/>
          <w:p>
            <w:pPr>
              <w:pStyle w:val="Compact"/>
            </w:pPr>
            <w:r>
              <w:t xml:space="preserve">Utilisateurs</w:t>
            </w:r>
          </w:p>
        </w:tc>
        <w:tc>
          <w:tcPr/>
          <w:p>
            <w:pPr>
              <w:pStyle w:val="Compact"/>
            </w:pPr>
            <w:r>
              <w:t xml:space="preserve">Serveur applicatif Salle A (VIP)</w:t>
            </w:r>
          </w:p>
        </w:tc>
        <w:tc>
          <w:tcPr/>
          <w:p>
            <w:pPr>
              <w:pStyle w:val="Compact"/>
            </w:pPr>
            <w:r>
              <w:t xml:space="preserve">HTTPS 443</w:t>
            </w:r>
          </w:p>
        </w:tc>
        <w:tc>
          <w:tcPr/>
          <w:p>
            <w:pPr>
              <w:pStyle w:val="Compact"/>
            </w:pPr>
            <w:r>
              <w:t xml:space="preserve">TLS ≥ 1.2</w:t>
            </w:r>
          </w:p>
        </w:tc>
      </w:tr>
      <w:tr>
        <w:tc>
          <w:tcPr/>
          <w:p>
            <w:pPr>
              <w:pStyle w:val="Compact"/>
            </w:pPr>
            <w:r>
              <w:t xml:space="preserve">L2</w:t>
            </w:r>
          </w:p>
        </w:tc>
        <w:tc>
          <w:tcPr/>
          <w:p>
            <w:pPr>
              <w:pStyle w:val="Compact"/>
            </w:pPr>
            <w:r>
              <w:t xml:space="preserve">Serveur applicatif Salle A</w:t>
            </w:r>
          </w:p>
        </w:tc>
        <w:tc>
          <w:tcPr/>
          <w:p>
            <w:pPr>
              <w:pStyle w:val="Compact"/>
            </w:pPr>
            <w:r>
              <w:t xml:space="preserve">Serveur applicatif Salle B</w:t>
            </w:r>
          </w:p>
        </w:tc>
        <w:tc>
          <w:tcPr/>
          <w:p>
            <w:pPr>
              <w:pStyle w:val="Compact"/>
            </w:pPr>
            <w:r>
              <w:t xml:space="preserve">Réplication PostgreSQL 5432</w:t>
            </w:r>
          </w:p>
        </w:tc>
        <w:tc>
          <w:tcPr/>
          <w:p>
            <w:pPr>
              <w:pStyle w:val="Compact"/>
            </w:pPr>
            <w:r>
              <w:t xml:space="preserve">TLS interne recommandé</w:t>
            </w:r>
          </w:p>
        </w:tc>
      </w:tr>
      <w:tr>
        <w:tc>
          <w:tcPr/>
          <w:p>
            <w:pPr>
              <w:pStyle w:val="Compact"/>
            </w:pPr>
            <w:r>
              <w:t xml:space="preserve">L3</w:t>
            </w:r>
          </w:p>
        </w:tc>
        <w:tc>
          <w:tcPr/>
          <w:p>
            <w:pPr>
              <w:pStyle w:val="Compact"/>
            </w:pPr>
            <w:r>
              <w:t xml:space="preserve">Serveur applicatif Salle A</w:t>
            </w:r>
          </w:p>
        </w:tc>
        <w:tc>
          <w:tcPr/>
          <w:p>
            <w:pPr>
              <w:pStyle w:val="Compact"/>
            </w:pPr>
            <w:r>
              <w:t xml:space="preserve">Serveur applicatif Salle B</w:t>
            </w:r>
          </w:p>
        </w:tc>
        <w:tc>
          <w:tcPr/>
          <w:p>
            <w:pPr>
              <w:pStyle w:val="Compact"/>
            </w:pPr>
            <w:r>
              <w:t xml:space="preserve">Synchronisation stockage 22 (rsync/SSH)</w:t>
            </w:r>
          </w:p>
        </w:tc>
        <w:tc>
          <w:tcPr/>
          <w:p>
            <w:pPr>
              <w:pStyle w:val="Compact"/>
            </w:pPr>
            <w:r>
              <w:t xml:space="preserve">SSH</w:t>
            </w:r>
          </w:p>
        </w:tc>
      </w:tr>
      <w:tr>
        <w:tc>
          <w:tcPr/>
          <w:p>
            <w:pPr>
              <w:pStyle w:val="Compact"/>
            </w:pPr>
            <w:r>
              <w:t xml:space="preserve">L4</w:t>
            </w:r>
          </w:p>
        </w:tc>
        <w:tc>
          <w:tcPr/>
          <w:p>
            <w:pPr>
              <w:pStyle w:val="Compact"/>
            </w:pPr>
            <w:r>
              <w:t xml:space="preserve">Serveur GPU Salle A</w:t>
            </w:r>
          </w:p>
        </w:tc>
        <w:tc>
          <w:tcPr/>
          <w:p>
            <w:pPr>
              <w:pStyle w:val="Compact"/>
            </w:pPr>
            <w:r>
              <w:t xml:space="preserve">API app Salle A</w:t>
            </w:r>
          </w:p>
        </w:tc>
        <w:tc>
          <w:tcPr/>
          <w:p>
            <w:pPr>
              <w:pStyle w:val="Compact"/>
            </w:pPr>
            <w:r>
              <w:t xml:space="preserve">HTTPS 443 (poll pending/progress/complete)</w:t>
            </w:r>
          </w:p>
        </w:tc>
        <w:tc>
          <w:tcPr/>
          <w:p>
            <w:pPr>
              <w:pStyle w:val="Compact"/>
            </w:pPr>
            <w:r>
              <w:t xml:space="preserve">TLS + jeton</w:t>
            </w:r>
          </w:p>
        </w:tc>
      </w:tr>
      <w:tr>
        <w:tc>
          <w:tcPr/>
          <w:p>
            <w:pPr>
              <w:pStyle w:val="Compact"/>
            </w:pPr>
            <w:r>
              <w:t xml:space="preserve">L5</w:t>
            </w:r>
          </w:p>
        </w:tc>
        <w:tc>
          <w:tcPr/>
          <w:p>
            <w:pPr>
              <w:pStyle w:val="Compact"/>
            </w:pPr>
            <w:r>
              <w:t xml:space="preserve">app Salle A</w:t>
            </w:r>
          </w:p>
        </w:tc>
        <w:tc>
          <w:tcPr/>
          <w:p>
            <w:pPr>
              <w:pStyle w:val="Compact"/>
            </w:pPr>
            <w:r>
              <w:t xml:space="preserve">LLM local Salle A (vLLM — Qwen 3.6 / Mistral)</w:t>
            </w:r>
          </w:p>
        </w:tc>
        <w:tc>
          <w:tcPr/>
          <w:p>
            <w:pPr>
              <w:pStyle w:val="Compact"/>
            </w:pPr>
            <w:r>
              <w:t xml:space="preserve">HTTP(S)</w:t>
            </w:r>
            <w:r>
              <w:t xml:space="preserve"> </w:t>
            </w:r>
            <w:r>
              <w:rPr>
                <w:rStyle w:val="VerbatimChar"/>
              </w:rPr>
              <w:t xml:space="preserve">8000 [à confirmer]</w:t>
            </w:r>
          </w:p>
        </w:tc>
        <w:tc>
          <w:tcPr/>
          <w:p>
            <w:pPr>
              <w:pStyle w:val="Compact"/>
            </w:pPr>
            <w:r>
              <w:t xml:space="preserve">Réseau interne / TLS interne</w:t>
            </w:r>
          </w:p>
        </w:tc>
      </w:tr>
      <w:tr>
        <w:tc>
          <w:tcPr/>
          <w:p>
            <w:pPr>
              <w:pStyle w:val="Compact"/>
            </w:pPr>
            <w:r>
              <w:t xml:space="preserve">L6</w:t>
            </w:r>
          </w:p>
        </w:tc>
        <w:tc>
          <w:tcPr/>
          <w:p>
            <w:pPr>
              <w:pStyle w:val="Compact"/>
            </w:pPr>
            <w:r>
              <w:t xml:space="preserve">Administration</w:t>
            </w:r>
          </w:p>
        </w:tc>
        <w:tc>
          <w:tcPr/>
          <w:p>
            <w:pPr>
              <w:pStyle w:val="Compact"/>
            </w:pPr>
            <w:r>
              <w:t xml:space="preserve">Serveurs (Salle A + Salle B)</w:t>
            </w:r>
          </w:p>
        </w:tc>
        <w:tc>
          <w:tcPr/>
          <w:p>
            <w:pPr>
              <w:pStyle w:val="Compact"/>
            </w:pPr>
            <w:r>
              <w:t xml:space="preserve">SSH 22 depuis VLAN admin</w:t>
            </w:r>
          </w:p>
        </w:tc>
        <w:tc>
          <w:tcPr/>
          <w:p>
            <w:pPr>
              <w:pStyle w:val="Compact"/>
            </w:pPr>
            <w:r>
              <w:t xml:space="preserve">Clé SSH + 2FA bastion</w:t>
            </w:r>
            <w:r>
              <w:t xml:space="preserve"> </w:t>
            </w:r>
            <w:r>
              <w:rPr>
                <w:rStyle w:val="VerbatimChar"/>
              </w:rPr>
              <w:t xml:space="preserve">[À RENSEIGNER]</w:t>
            </w:r>
          </w:p>
        </w:tc>
      </w:tr>
    </w:tbl>
    <w:p>
      <w:pPr>
        <w:pStyle w:val="BodyText"/>
      </w:pPr>
      <w:r>
        <w:rPr>
          <w:i/>
          <w:iCs/>
        </w:rPr>
        <w:t xml:space="preserve">Le synoptique détaillé complet (composants + baies + interconnexions physiques) sera remis au format Microsoft Visio (.vsdx) lors de la phase d'implantation, complété des éléments propres au site.</w:t>
      </w:r>
    </w:p>
    <w:p>
      <w:r>
        <w:pict>
          <v:rect style="width:0;height:1.5pt" o:hralign="center" o:hrstd="t" o:hr="t"/>
        </w:pict>
      </w:r>
    </w:p>
    <w:bookmarkEnd w:id="58"/>
    <w:bookmarkEnd w:id="59"/>
    <w:bookmarkStart w:id="63" w:name="Xf9f8b529c9d316d96a83ce7e4515facd45aae7e"/>
    <w:p>
      <w:pPr>
        <w:pStyle w:val="Heading2"/>
      </w:pPr>
      <w:r>
        <w:t xml:space="preserve">5. Spécifications techniques des matériels proposés</w:t>
      </w:r>
    </w:p>
    <w:p>
      <w:pPr>
        <w:pStyle w:val="BlockText"/>
      </w:pPr>
      <w:r>
        <w:t xml:space="preserve">Les caractéristiques ci-dessous constituent un</w:t>
      </w:r>
      <w:r>
        <w:t xml:space="preserve"> </w:t>
      </w:r>
      <w:r>
        <w:rPr>
          <w:b/>
          <w:bCs/>
        </w:rPr>
        <w:t xml:space="preserve">gabarit de dimensionnement</w:t>
      </w:r>
      <w:r>
        <w:t xml:space="preserve"> </w:t>
      </w:r>
      <w:r>
        <w:t xml:space="preserve">à ajuster selon la volumétrie réelle du Client (voir §9). Les documentations fournisseur détaillées seront</w:t>
      </w:r>
      <w:r>
        <w:t xml:space="preserve"> </w:t>
      </w:r>
      <w:r>
        <w:rPr>
          <w:b/>
          <w:bCs/>
        </w:rPr>
        <w:t xml:space="preserve">jointes en annexe lors du choix définitif du matériel</w:t>
      </w:r>
      <w:r>
        <w:t xml:space="preserve">.</w:t>
      </w:r>
    </w:p>
    <w:bookmarkStart w:id="60" w:name="X9a7e0003b376a6ff823494da575f02782dc96f8"/>
    <w:p>
      <w:pPr>
        <w:pStyle w:val="Heading3"/>
      </w:pPr>
      <w:r>
        <w:t xml:space="preserve">5.1 Serveur applicatif (type)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Caractéristique</w:t>
            </w:r>
          </w:p>
        </w:tc>
        <w:tc>
          <w:tcPr/>
          <w:p>
            <w:pPr>
              <w:pStyle w:val="Compact"/>
            </w:pPr>
            <w:r>
              <w:t xml:space="preserve">Spécification proposée</w:t>
            </w:r>
          </w:p>
        </w:tc>
      </w:tr>
      <w:tr>
        <w:tc>
          <w:tcPr/>
          <w:p>
            <w:pPr>
              <w:pStyle w:val="Compact"/>
            </w:pPr>
            <w:r>
              <w:t xml:space="preserve">Processeur</w:t>
            </w:r>
          </w:p>
        </w:tc>
        <w:tc>
          <w:tcPr/>
          <w:p>
            <w:pPr>
              <w:pStyle w:val="Compact"/>
            </w:pPr>
            <w:r>
              <w:t xml:space="preserve">8 à 16 cœurs physiques (x86-64, génération récente)</w:t>
            </w:r>
          </w:p>
        </w:tc>
      </w:tr>
      <w:tr>
        <w:tc>
          <w:tcPr/>
          <w:p>
            <w:pPr>
              <w:pStyle w:val="Compact"/>
            </w:pPr>
            <w:r>
              <w:t xml:space="preserve">Mémoire vive</w:t>
            </w:r>
          </w:p>
        </w:tc>
        <w:tc>
          <w:tcPr/>
          <w:p>
            <w:pPr>
              <w:pStyle w:val="Compact"/>
            </w:pPr>
            <w:r>
              <w:t xml:space="preserve">32 à 64 Go RAM ECC</w:t>
            </w:r>
          </w:p>
        </w:tc>
      </w:tr>
      <w:tr>
        <w:tc>
          <w:tcPr/>
          <w:p>
            <w:pPr>
              <w:pStyle w:val="Compact"/>
            </w:pPr>
            <w:r>
              <w:t xml:space="preserve">Stockage système</w:t>
            </w:r>
          </w:p>
        </w:tc>
        <w:tc>
          <w:tcPr/>
          <w:p>
            <w:pPr>
              <w:pStyle w:val="Compact"/>
            </w:pPr>
            <w:r>
              <w:t xml:space="preserve">2 × SSD NVMe en RAID 1 (OS + conteneurs)</w:t>
            </w:r>
          </w:p>
        </w:tc>
      </w:tr>
      <w:tr>
        <w:tc>
          <w:tcPr/>
          <w:p>
            <w:pPr>
              <w:pStyle w:val="Compact"/>
            </w:pPr>
            <w:r>
              <w:t xml:space="preserve">Stockage données</w:t>
            </w:r>
          </w:p>
        </w:tc>
        <w:tc>
          <w:tcPr/>
          <w:p>
            <w:pPr>
              <w:pStyle w:val="Compact"/>
            </w:pPr>
            <w:r>
              <w:t xml:space="preserve">NVMe en RAID (RAID 1 ou RAID 10 selon volumétrie) — voir §9</w:t>
            </w:r>
          </w:p>
        </w:tc>
      </w:tr>
      <w:tr>
        <w:tc>
          <w:tcPr/>
          <w:p>
            <w:pPr>
              <w:pStyle w:val="Compact"/>
            </w:pPr>
            <w:r>
              <w:t xml:space="preserve">Réseau</w:t>
            </w:r>
          </w:p>
        </w:tc>
        <w:tc>
          <w:tcPr/>
          <w:p>
            <w:pPr>
              <w:pStyle w:val="Compact"/>
            </w:pPr>
            <w:r>
              <w:t xml:space="preserve">2 × 10 GbE (agrégation / redondance) + interface d'administration dédiée (IPMI/iDRAC/iLO)</w:t>
            </w:r>
          </w:p>
        </w:tc>
      </w:tr>
      <w:tr>
        <w:tc>
          <w:tcPr/>
          <w:p>
            <w:pPr>
              <w:pStyle w:val="Compact"/>
            </w:pPr>
            <w:r>
              <w:t xml:space="preserve">Alimentation</w:t>
            </w:r>
          </w:p>
        </w:tc>
        <w:tc>
          <w:tcPr/>
          <w:p>
            <w:pPr>
              <w:pStyle w:val="Compact"/>
            </w:pPr>
            <w:r>
              <w:t xml:space="preserve">Double alimentation redondante, raccordée à deux circuits onduleurs</w:t>
            </w:r>
          </w:p>
        </w:tc>
      </w:tr>
      <w:tr>
        <w:tc>
          <w:tcPr/>
          <w:p>
            <w:pPr>
              <w:pStyle w:val="Compact"/>
            </w:pPr>
            <w:r>
              <w:t xml:space="preserve">Système</w:t>
            </w:r>
          </w:p>
        </w:tc>
        <w:tc>
          <w:tcPr/>
          <w:p>
            <w:pPr>
              <w:pStyle w:val="Compact"/>
            </w:pPr>
            <w:r>
              <w:t xml:space="preserve">Linux serveur durci (ex. Debian 12 / équivalent supporté)</w:t>
            </w:r>
          </w:p>
        </w:tc>
      </w:tr>
    </w:tbl>
    <w:bookmarkEnd w:id="60"/>
    <w:bookmarkStart w:id="61" w:name="Xcd583c3628f68211e39c87de6fc256fcacef774"/>
    <w:p>
      <w:pPr>
        <w:pStyle w:val="Heading3"/>
      </w:pPr>
      <w:r>
        <w:t xml:space="preserve">5.2 Serveur GPU de transcription et LLM local (type)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Caractéristique</w:t>
            </w:r>
          </w:p>
        </w:tc>
        <w:tc>
          <w:tcPr/>
          <w:p>
            <w:pPr>
              <w:pStyle w:val="Compact"/>
            </w:pPr>
            <w:r>
              <w:t xml:space="preserve">Spécification proposée</w:t>
            </w:r>
          </w:p>
        </w:tc>
      </w:tr>
      <w:tr>
        <w:tc>
          <w:tcPr/>
          <w:p>
            <w:pPr>
              <w:pStyle w:val="Compact"/>
            </w:pPr>
            <w:r>
              <w:t xml:space="preserve">GPU</w:t>
            </w:r>
          </w:p>
        </w:tc>
        <w:tc>
          <w:tcPr/>
          <w:p>
            <w:pPr>
              <w:pStyle w:val="Compact"/>
            </w:pPr>
            <w:r>
              <w:t xml:space="preserve">≥ 16 Go de VRAM (type NVIDIA RTX 4090 24 Go, L4 24 Go, A10 24 Go) — à dimensionner selon volumétrie et parallélisme souhaité</w:t>
            </w:r>
          </w:p>
        </w:tc>
      </w:tr>
      <w:tr>
        <w:tc>
          <w:tcPr/>
          <w:p>
            <w:pPr>
              <w:pStyle w:val="Compact"/>
            </w:pPr>
            <w:r>
              <w:t xml:space="preserve">Processeur</w:t>
            </w:r>
          </w:p>
        </w:tc>
        <w:tc>
          <w:tcPr/>
          <w:p>
            <w:pPr>
              <w:pStyle w:val="Compact"/>
            </w:pPr>
            <w:r>
              <w:t xml:space="preserve">8 à 16 cœurs physiques</w:t>
            </w:r>
          </w:p>
        </w:tc>
      </w:tr>
      <w:tr>
        <w:tc>
          <w:tcPr/>
          <w:p>
            <w:pPr>
              <w:pStyle w:val="Compact"/>
            </w:pPr>
            <w:r>
              <w:t xml:space="preserve">Mémoire vive</w:t>
            </w:r>
          </w:p>
        </w:tc>
        <w:tc>
          <w:tcPr/>
          <w:p>
            <w:pPr>
              <w:pStyle w:val="Compact"/>
            </w:pPr>
            <w:r>
              <w:t xml:space="preserve">64 à 128 Go RAM (l'inférence LLM local et la diarisation sont mémoire-intensives)</w:t>
            </w:r>
          </w:p>
        </w:tc>
      </w:tr>
      <w:tr>
        <w:tc>
          <w:tcPr/>
          <w:p>
            <w:pPr>
              <w:pStyle w:val="Compact"/>
            </w:pPr>
            <w:r>
              <w:t xml:space="preserve">Stockage</w:t>
            </w:r>
          </w:p>
        </w:tc>
        <w:tc>
          <w:tcPr/>
          <w:p>
            <w:pPr>
              <w:pStyle w:val="Compact"/>
            </w:pPr>
            <w:r>
              <w:t xml:space="preserve">NVMe rapide (modèles + fichiers de travail) — dimensionnement selon modèles chargés</w:t>
            </w:r>
          </w:p>
        </w:tc>
      </w:tr>
      <w:tr>
        <w:tc>
          <w:tcPr/>
          <w:p>
            <w:pPr>
              <w:pStyle w:val="Compact"/>
            </w:pPr>
            <w:r>
              <w:t xml:space="preserve">Réseau</w:t>
            </w:r>
          </w:p>
        </w:tc>
        <w:tc>
          <w:tcPr/>
          <w:p>
            <w:pPr>
              <w:pStyle w:val="Compact"/>
            </w:pPr>
            <w:r>
              <w:t xml:space="preserve">2 × 10 GbE</w:t>
            </w:r>
          </w:p>
        </w:tc>
      </w:tr>
      <w:tr>
        <w:tc>
          <w:tcPr/>
          <w:p>
            <w:pPr>
              <w:pStyle w:val="Compact"/>
            </w:pPr>
            <w:r>
              <w:t xml:space="preserve">Alimentation</w:t>
            </w:r>
          </w:p>
        </w:tc>
        <w:tc>
          <w:tcPr/>
          <w:p>
            <w:pPr>
              <w:pStyle w:val="Compact"/>
            </w:pPr>
            <w:r>
              <w:t xml:space="preserve">Double alimentation redondante</w:t>
            </w:r>
          </w:p>
        </w:tc>
      </w:tr>
      <w:tr>
        <w:tc>
          <w:tcPr/>
          <w:p>
            <w:pPr>
              <w:pStyle w:val="Compact"/>
            </w:pPr>
            <w:r>
              <w:t xml:space="preserve">Pilotes</w:t>
            </w:r>
          </w:p>
        </w:tc>
        <w:tc>
          <w:tcPr/>
          <w:p>
            <w:pPr>
              <w:pStyle w:val="Compact"/>
            </w:pPr>
            <w:r>
              <w:t xml:space="preserve">Pilotes GPU +</w:t>
            </w:r>
            <w:r>
              <w:t xml:space="preserve"> </w:t>
            </w:r>
            <w:r>
              <w:rPr>
                <w:i/>
                <w:iCs/>
              </w:rPr>
              <w:t xml:space="preserve">runtime</w:t>
            </w:r>
            <w:r>
              <w:t xml:space="preserve"> </w:t>
            </w:r>
            <w:r>
              <w:t xml:space="preserve">conteneur GPU (ex. NVIDIA Container Toolkit)</w:t>
            </w:r>
          </w:p>
        </w:tc>
      </w:tr>
      <w:tr>
        <w:tc>
          <w:tcPr/>
          <w:p>
            <w:pPr>
              <w:pStyle w:val="Compact"/>
            </w:pPr>
            <w:r>
              <w:t xml:space="preserve">Moteur LLM local</w:t>
            </w:r>
          </w:p>
        </w:tc>
        <w:tc>
          <w:tcPr/>
          <w:p>
            <w:pPr>
              <w:pStyle w:val="Compact"/>
            </w:pPr>
            <w:r>
              <w:t xml:space="preserve">Serveur</w:t>
            </w:r>
            <w:r>
              <w:t xml:space="preserve"> </w:t>
            </w:r>
            <w:r>
              <w:rPr>
                <w:b/>
                <w:bCs/>
              </w:rPr>
              <w:t xml:space="preserve">vLLM</w:t>
            </w:r>
            <w:r>
              <w:t xml:space="preserve"> </w:t>
            </w:r>
            <w:r>
              <w:t xml:space="preserve">exécutant un modèle</w:t>
            </w:r>
            <w:r>
              <w:t xml:space="preserve"> </w:t>
            </w:r>
            <w:r>
              <w:rPr>
                <w:b/>
                <w:bCs/>
              </w:rPr>
              <w:t xml:space="preserve">open-weights</w:t>
            </w:r>
            <w:r>
              <w:t xml:space="preserve"> </w:t>
            </w:r>
            <w:r>
              <w:t xml:space="preserve">—</w:t>
            </w:r>
            <w:r>
              <w:t xml:space="preserve"> </w:t>
            </w:r>
            <w:r>
              <w:rPr>
                <w:b/>
                <w:bCs/>
              </w:rPr>
              <w:t xml:space="preserve">Qwen 3.6</w:t>
            </w:r>
            <w:r>
              <w:t xml:space="preserve"> </w:t>
            </w:r>
            <w:r>
              <w:t xml:space="preserve">ou</w:t>
            </w:r>
            <w:r>
              <w:t xml:space="preserve"> </w:t>
            </w:r>
            <w:r>
              <w:rPr>
                <w:b/>
                <w:bCs/>
              </w:rPr>
              <w:t xml:space="preserve">Mistral</w:t>
            </w:r>
            <w:r>
              <w:t xml:space="preserve"> </w:t>
            </w:r>
            <w:r>
              <w:rPr>
                <w:rStyle w:val="VerbatimChar"/>
              </w:rPr>
              <w:t xml:space="preserve">[versions exactes à confirmer]</w:t>
            </w:r>
            <w:r>
              <w:t xml:space="preserve"> </w:t>
            </w:r>
            <w:r>
              <w:t xml:space="preserve">— endpoint local (port type 8000/TCP)</w:t>
            </w:r>
          </w:p>
        </w:tc>
      </w:tr>
      <w:tr>
        <w:tc>
          <w:tcPr/>
          <w:p>
            <w:pPr>
              <w:pStyle w:val="Compact"/>
            </w:pPr>
            <w:r>
              <w:t xml:space="preserve">Moteur de transcription</w:t>
            </w:r>
          </w:p>
        </w:tc>
        <w:tc>
          <w:tcPr/>
          <w:p>
            <w:pPr>
              <w:pStyle w:val="Compact"/>
            </w:pPr>
            <w:r>
              <w:t xml:space="preserve">whisperX (transcription) + pyannote.audio (diarisation)</w:t>
            </w:r>
          </w:p>
        </w:tc>
      </w:tr>
    </w:tbl>
    <w:p>
      <w:pPr>
        <w:pStyle w:val="BlockText"/>
      </w:pPr>
      <w:r>
        <w:rPr>
          <w:b/>
          <w:bCs/>
        </w:rPr>
        <w:t xml:space="preserve">Note de dimensionnement GPU.</w:t>
      </w:r>
      <w:r>
        <w:t xml:space="preserve"> </w:t>
      </w:r>
      <w:r>
        <w:t xml:space="preserve">Le choix du GPU conditionne (a) le débit de transcription (nombre d'heures d'audio traitées par heure), (b) la taille du modèle LLM local (vLLM — Qwen 3.6 ou Mistral) exécutable et sa latence. Un GPU 24 Go permet d'héberger un modèle open-weights de taille moyenne servi par vLLM et une file de transcription simultanée. Pour un volume élevé, prévoir soit un GPU de plus grande capacité, soit un second serveur GPU (scaling horizontal — voir §9). La consommation VRAM dépend du modèle retenu et de sa quantification</w:t>
      </w:r>
      <w:r>
        <w:t xml:space="preserve"> </w:t>
      </w:r>
      <w:r>
        <w:rPr>
          <w:rStyle w:val="VerbatimChar"/>
        </w:rPr>
        <w:t xml:space="preserve">[à figer à l'implantation]</w:t>
      </w:r>
      <w:r>
        <w:t xml:space="preserve">.</w:t>
      </w:r>
    </w:p>
    <w:bookmarkEnd w:id="61"/>
    <w:bookmarkStart w:id="62" w:name="X378073033f7928f217e30617a536b1dbe6b5d63"/>
    <w:p>
      <w:pPr>
        <w:pStyle w:val="Heading3"/>
      </w:pPr>
      <w:r>
        <w:t xml:space="preserve">5.3 Stockage de sauvegarde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Caractéristique</w:t>
            </w:r>
          </w:p>
        </w:tc>
        <w:tc>
          <w:tcPr/>
          <w:p>
            <w:pPr>
              <w:pStyle w:val="Compact"/>
            </w:pPr>
            <w:r>
              <w:t xml:space="preserve">Spécification proposée</w:t>
            </w:r>
          </w:p>
        </w:tc>
      </w:tr>
      <w:tr>
        <w:tc>
          <w:tcPr/>
          <w:p>
            <w:pPr>
              <w:pStyle w:val="Compact"/>
            </w:pPr>
            <w:r>
              <w:t xml:space="preserve">Capacité</w:t>
            </w:r>
          </w:p>
        </w:tc>
        <w:tc>
          <w:tcPr/>
          <w:p>
            <w:pPr>
              <w:pStyle w:val="Compact"/>
            </w:pPr>
            <w:r>
              <w:t xml:space="preserve">≥ 3 × la volumétrie de production (rétention 90 j) —</w:t>
            </w:r>
            <w:r>
              <w:t xml:space="preserve"> </w:t>
            </w:r>
            <w:r>
              <w:rPr>
                <w:rStyle w:val="VerbatimChar"/>
              </w:rPr>
              <w:t xml:space="preserve">[À DIMENSIONNER §9]</w:t>
            </w:r>
          </w:p>
        </w:tc>
      </w:tr>
      <w:tr>
        <w:tc>
          <w:tcPr/>
          <w:p>
            <w:pPr>
              <w:pStyle w:val="Compact"/>
            </w:pPr>
            <w:r>
              <w:t xml:space="preserve">Emplacement</w:t>
            </w:r>
          </w:p>
        </w:tc>
        <w:tc>
          <w:tcPr/>
          <w:p>
            <w:pPr>
              <w:pStyle w:val="Compact"/>
            </w:pPr>
            <w:r>
              <w:t xml:space="preserve">Salle distincte du site actif (idéalement Salle B ou baie de sauvegarde dédiée)</w:t>
            </w:r>
            <w:r>
              <w:t xml:space="preserve"> </w:t>
            </w:r>
            <w:r>
              <w:rPr>
                <w:rStyle w:val="VerbatimChar"/>
              </w:rPr>
              <w:t xml:space="preserve">[À RENSEIGNER]</w:t>
            </w:r>
          </w:p>
        </w:tc>
      </w:tr>
      <w:tr>
        <w:tc>
          <w:tcPr/>
          <w:p>
            <w:pPr>
              <w:pStyle w:val="Compact"/>
            </w:pPr>
            <w:r>
              <w:t xml:space="preserve">Nature</w:t>
            </w:r>
          </w:p>
        </w:tc>
        <w:tc>
          <w:tcPr/>
          <w:p>
            <w:pPr>
              <w:pStyle w:val="Compact"/>
            </w:pPr>
            <w:r>
              <w:t xml:space="preserve">Baie NAS / serveur de stockage / bibliothèque —</w:t>
            </w:r>
            <w:r>
              <w:t xml:space="preserve"> </w:t>
            </w:r>
            <w:r>
              <w:rPr>
                <w:rStyle w:val="VerbatimChar"/>
              </w:rPr>
              <w:t xml:space="preserve">[À RENSEIGNER selon standards Client]</w:t>
            </w:r>
          </w:p>
        </w:tc>
      </w:tr>
      <w:tr>
        <w:tc>
          <w:tcPr/>
          <w:p>
            <w:pPr>
              <w:pStyle w:val="Compact"/>
            </w:pPr>
            <w:r>
              <w:t xml:space="preserve">Chiffrement</w:t>
            </w:r>
          </w:p>
        </w:tc>
        <w:tc>
          <w:tcPr/>
          <w:p>
            <w:pPr>
              <w:pStyle w:val="Compact"/>
            </w:pPr>
            <w:r>
              <w:t xml:space="preserve">Sauvegardes chiffrées</w:t>
            </w:r>
            <w:r>
              <w:t xml:space="preserve"> </w:t>
            </w:r>
            <w:r>
              <w:rPr>
                <w:rStyle w:val="VerbatimChar"/>
              </w:rPr>
              <w:t xml:space="preserve">age</w:t>
            </w:r>
            <w:r>
              <w:t xml:space="preserve"> </w:t>
            </w:r>
            <w:r>
              <w:t xml:space="preserve">avant écriture ; chiffrement disque recommandé en complément (infra Client)</w:t>
            </w:r>
          </w:p>
        </w:tc>
      </w:tr>
    </w:tbl>
    <w:p>
      <w:r>
        <w:pict>
          <v:rect style="width:0;height:1.5pt" o:hralign="center" o:hrstd="t" o:hr="t"/>
        </w:pict>
      </w:r>
    </w:p>
    <w:bookmarkEnd w:id="62"/>
    <w:bookmarkEnd w:id="63"/>
    <w:bookmarkStart w:id="66" w:name="X97da93b647954caa8459e1874998eaa7bf65c8a"/>
    <w:p>
      <w:pPr>
        <w:pStyle w:val="Heading2"/>
      </w:pPr>
      <w:r>
        <w:t xml:space="preserve">6. Raccordement réseau des matériels</w:t>
      </w:r>
    </w:p>
    <w:bookmarkStart w:id="64" w:name="X81602222658518639973e0e4453c1ef215f4a89"/>
    <w:p>
      <w:pPr>
        <w:pStyle w:val="Heading3"/>
      </w:pPr>
      <w:r>
        <w:t xml:space="preserve">6.1 Principes de raccordement</w:t>
      </w:r>
    </w:p>
    <w:p>
      <w:pPr>
        <w:pStyle w:val="Compact"/>
        <w:numPr>
          <w:ilvl w:val="0"/>
          <w:numId w:val="1016"/>
        </w:numPr>
      </w:pPr>
      <w:r>
        <w:t xml:space="preserve">Chaque serveur dispose d'au moins</w:t>
      </w:r>
      <w:r>
        <w:t xml:space="preserve"> </w:t>
      </w:r>
      <w:r>
        <w:rPr>
          <w:b/>
          <w:bCs/>
        </w:rPr>
        <w:t xml:space="preserve">deux interfaces de données</w:t>
      </w:r>
      <w:r>
        <w:t xml:space="preserve"> </w:t>
      </w:r>
      <w:r>
        <w:t xml:space="preserve">agrégées (LACP) vers deux commutateurs distincts pour la redondance, plus une</w:t>
      </w:r>
      <w:r>
        <w:t xml:space="preserve"> </w:t>
      </w:r>
      <w:r>
        <w:rPr>
          <w:b/>
          <w:bCs/>
        </w:rPr>
        <w:t xml:space="preserve">interface d'administration hors-bande</w:t>
      </w:r>
      <w:r>
        <w:t xml:space="preserve"> </w:t>
      </w:r>
      <w:r>
        <w:t xml:space="preserve">(IPMI/iDRAC/iLO) sur le VLAN d'administration.</w:t>
      </w:r>
    </w:p>
    <w:p>
      <w:pPr>
        <w:pStyle w:val="Compact"/>
        <w:numPr>
          <w:ilvl w:val="0"/>
          <w:numId w:val="1016"/>
        </w:numPr>
      </w:pPr>
      <w:r>
        <w:t xml:space="preserve">Les serveurs applicatifs sont raccordés au</w:t>
      </w:r>
      <w:r>
        <w:t xml:space="preserve"> </w:t>
      </w:r>
      <w:r>
        <w:rPr>
          <w:b/>
          <w:bCs/>
        </w:rPr>
        <w:t xml:space="preserve">VLAN serveurs applicatifs</w:t>
      </w:r>
      <w:r>
        <w:t xml:space="preserve"> </w:t>
      </w:r>
      <w:r>
        <w:t xml:space="preserve">; l'interface de réplication/stockage peut être portée par un</w:t>
      </w:r>
      <w:r>
        <w:t xml:space="preserve"> </w:t>
      </w:r>
      <w:r>
        <w:rPr>
          <w:b/>
          <w:bCs/>
        </w:rPr>
        <w:t xml:space="preserve">VLAN stockage/réplication</w:t>
      </w:r>
      <w:r>
        <w:t xml:space="preserve"> </w:t>
      </w:r>
      <w:r>
        <w:t xml:space="preserve">dédié (recommandé) pour isoler le trafic inter-salles.</w:t>
      </w:r>
    </w:p>
    <w:p>
      <w:pPr>
        <w:pStyle w:val="Compact"/>
        <w:numPr>
          <w:ilvl w:val="0"/>
          <w:numId w:val="1016"/>
        </w:numPr>
      </w:pPr>
      <w:r>
        <w:t xml:space="preserve">La liaison inter-salles Salle A ↔ Salle B doit offrir une bande passante et une latence compatibles avec la réplication continue (voir §9.4) — caractéristiques du lien</w:t>
      </w:r>
      <w:r>
        <w:t xml:space="preserve"> </w:t>
      </w:r>
      <w:r>
        <w:rPr>
          <w:rStyle w:val="VerbatimChar"/>
        </w:rPr>
        <w:t xml:space="preserve">[À RENSEIGNER avec la DSI]</w:t>
      </w:r>
      <w:r>
        <w:t xml:space="preserve">.</w:t>
      </w:r>
    </w:p>
    <w:bookmarkEnd w:id="64"/>
    <w:bookmarkStart w:id="65" w:name="Xf5d37c27903fc4980402529b296fc4ef50b2304"/>
    <w:p>
      <w:pPr>
        <w:pStyle w:val="Heading3"/>
      </w:pPr>
      <w:r>
        <w:t xml:space="preserve">6.2 Tableau de raccordement (type)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Serveur</w:t>
            </w:r>
          </w:p>
        </w:tc>
        <w:tc>
          <w:tcPr/>
          <w:p>
            <w:pPr>
              <w:pStyle w:val="Compact"/>
            </w:pPr>
            <w:r>
              <w:t xml:space="preserve">Interface</w:t>
            </w:r>
          </w:p>
        </w:tc>
        <w:tc>
          <w:tcPr/>
          <w:p>
            <w:pPr>
              <w:pStyle w:val="Compact"/>
            </w:pPr>
            <w:r>
              <w:t xml:space="preserve">VLAN</w:t>
            </w:r>
          </w:p>
        </w:tc>
        <w:tc>
          <w:tcPr/>
          <w:p>
            <w:pPr>
              <w:pStyle w:val="Compact"/>
            </w:pPr>
            <w:r>
              <w:t xml:space="preserve">Débit</w:t>
            </w:r>
          </w:p>
        </w:tc>
        <w:tc>
          <w:tcPr/>
          <w:p>
            <w:pPr>
              <w:pStyle w:val="Compact"/>
            </w:pPr>
            <w:r>
              <w:t xml:space="preserve">Commutateur</w:t>
            </w:r>
          </w:p>
        </w:tc>
        <w:tc>
          <w:tcPr/>
          <w:p>
            <w:pPr>
              <w:pStyle w:val="Compact"/>
            </w:pPr>
            <w:r>
              <w:t xml:space="preserve">Remarque</w:t>
            </w:r>
          </w:p>
        </w:tc>
      </w:tr>
      <w:tr>
        <w:tc>
          <w:tcPr/>
          <w:p>
            <w:pPr>
              <w:pStyle w:val="Compact"/>
            </w:pPr>
            <w:r>
              <w:t xml:space="preserve">Applicatif Salle A</w:t>
            </w:r>
          </w:p>
        </w:tc>
        <w:tc>
          <w:tcPr/>
          <w:p>
            <w:pPr>
              <w:pStyle w:val="Compact"/>
            </w:pPr>
            <w:r>
              <w:t xml:space="preserve">eth0+eth1 (LACP)</w:t>
            </w:r>
          </w:p>
        </w:tc>
        <w:tc>
          <w:tcPr/>
          <w:p>
            <w:pPr>
              <w:pStyle w:val="Compact"/>
            </w:pPr>
            <w:r>
              <w:t xml:space="preserve">Serveurs app</w:t>
            </w:r>
            <w:r>
              <w:t xml:space="preserve"> </w:t>
            </w:r>
            <w:r>
              <w:rPr>
                <w:rStyle w:val="VerbatimChar"/>
              </w:rPr>
              <w:t xml:space="preserve">[À RENSEIGNER]</w:t>
            </w:r>
          </w:p>
        </w:tc>
        <w:tc>
          <w:tcPr/>
          <w:p>
            <w:pPr>
              <w:pStyle w:val="Compact"/>
            </w:pPr>
            <w:r>
              <w:t xml:space="preserve">2×10 GbE</w:t>
            </w:r>
          </w:p>
        </w:tc>
        <w:tc>
          <w:tcPr/>
          <w:p>
            <w:pPr>
              <w:pStyle w:val="Compact"/>
            </w:pPr>
            <w:r>
              <w:t xml:space="preserve">SW-A-1 / SW-A-2</w:t>
            </w:r>
          </w:p>
        </w:tc>
        <w:tc>
          <w:tcPr/>
          <w:p>
            <w:pPr>
              <w:pStyle w:val="Compact"/>
            </w:pPr>
            <w:r>
              <w:t xml:space="preserve">Trafic applicatif</w:t>
            </w:r>
          </w:p>
        </w:tc>
      </w:tr>
      <w:tr>
        <w:tc>
          <w:tcPr/>
          <w:p>
            <w:pPr>
              <w:pStyle w:val="Compact"/>
            </w:pPr>
            <w:r>
              <w:t xml:space="preserve">Applicatif Salle A</w:t>
            </w:r>
          </w:p>
        </w:tc>
        <w:tc>
          <w:tcPr/>
          <w:p>
            <w:pPr>
              <w:pStyle w:val="Compact"/>
            </w:pPr>
            <w:r>
              <w:t xml:space="preserve">eth2</w:t>
            </w:r>
          </w:p>
        </w:tc>
        <w:tc>
          <w:tcPr/>
          <w:p>
            <w:pPr>
              <w:pStyle w:val="Compact"/>
            </w:pPr>
            <w:r>
              <w:t xml:space="preserve">Stockage/réplication</w:t>
            </w:r>
            <w:r>
              <w:t xml:space="preserve"> </w:t>
            </w:r>
            <w:r>
              <w:rPr>
                <w:rStyle w:val="VerbatimChar"/>
              </w:rPr>
              <w:t xml:space="preserve">[À RENSEIGNER]</w:t>
            </w:r>
          </w:p>
        </w:tc>
        <w:tc>
          <w:tcPr/>
          <w:p>
            <w:pPr>
              <w:pStyle w:val="Compact"/>
            </w:pPr>
            <w:r>
              <w:t xml:space="preserve">10 GbE</w:t>
            </w:r>
          </w:p>
        </w:tc>
        <w:tc>
          <w:tcPr/>
          <w:p>
            <w:pPr>
              <w:pStyle w:val="Compact"/>
            </w:pPr>
            <w:r>
              <w:t xml:space="preserve">SW-A-x</w:t>
            </w:r>
          </w:p>
        </w:tc>
        <w:tc>
          <w:tcPr/>
          <w:p>
            <w:pPr>
              <w:pStyle w:val="Compact"/>
            </w:pPr>
            <w:r>
              <w:t xml:space="preserve">Réplication + synchro</w:t>
            </w:r>
          </w:p>
        </w:tc>
      </w:tr>
      <w:tr>
        <w:tc>
          <w:tcPr/>
          <w:p>
            <w:pPr>
              <w:pStyle w:val="Compact"/>
            </w:pPr>
            <w:r>
              <w:t xml:space="preserve">Applicatif Salle A</w:t>
            </w:r>
          </w:p>
        </w:tc>
        <w:tc>
          <w:tcPr/>
          <w:p>
            <w:pPr>
              <w:pStyle w:val="Compact"/>
            </w:pPr>
            <w:r>
              <w:t xml:space="preserve">mgmt</w:t>
            </w:r>
          </w:p>
        </w:tc>
        <w:tc>
          <w:tcPr/>
          <w:p>
            <w:pPr>
              <w:pStyle w:val="Compact"/>
            </w:pPr>
            <w:r>
              <w:t xml:space="preserve">Administration</w:t>
            </w:r>
            <w:r>
              <w:t xml:space="preserve"> </w:t>
            </w:r>
            <w:r>
              <w:rPr>
                <w:rStyle w:val="VerbatimChar"/>
              </w:rPr>
              <w:t xml:space="preserve">[À RENSEIGNER]</w:t>
            </w:r>
          </w:p>
        </w:tc>
        <w:tc>
          <w:tcPr/>
          <w:p>
            <w:pPr>
              <w:pStyle w:val="Compact"/>
            </w:pPr>
            <w:r>
              <w:t xml:space="preserve">1 GbE</w:t>
            </w:r>
          </w:p>
        </w:tc>
        <w:tc>
          <w:tcPr/>
          <w:p>
            <w:pPr>
              <w:pStyle w:val="Compact"/>
            </w:pPr>
            <w:r>
              <w:t xml:space="preserve">SW-MGMT</w:t>
            </w:r>
          </w:p>
        </w:tc>
        <w:tc>
          <w:tcPr/>
          <w:p>
            <w:pPr>
              <w:pStyle w:val="Compact"/>
            </w:pPr>
            <w:r>
              <w:t xml:space="preserve">Hors-bande</w:t>
            </w:r>
          </w:p>
        </w:tc>
      </w:tr>
      <w:tr>
        <w:tc>
          <w:tcPr/>
          <w:p>
            <w:pPr>
              <w:pStyle w:val="Compact"/>
            </w:pPr>
            <w:r>
              <w:t xml:space="preserve">GPU Salle A</w:t>
            </w:r>
          </w:p>
        </w:tc>
        <w:tc>
          <w:tcPr/>
          <w:p>
            <w:pPr>
              <w:pStyle w:val="Compact"/>
            </w:pPr>
            <w:r>
              <w:t xml:space="preserve">eth0+eth1 (LACP)</w:t>
            </w:r>
          </w:p>
        </w:tc>
        <w:tc>
          <w:tcPr/>
          <w:p>
            <w:pPr>
              <w:pStyle w:val="Compact"/>
            </w:pPr>
            <w:r>
              <w:t xml:space="preserve">Serveurs app</w:t>
            </w:r>
            <w:r>
              <w:t xml:space="preserve"> </w:t>
            </w:r>
            <w:r>
              <w:rPr>
                <w:rStyle w:val="VerbatimChar"/>
              </w:rPr>
              <w:t xml:space="preserve">[À RENSEIGNER]</w:t>
            </w:r>
          </w:p>
        </w:tc>
        <w:tc>
          <w:tcPr/>
          <w:p>
            <w:pPr>
              <w:pStyle w:val="Compact"/>
            </w:pPr>
            <w:r>
              <w:t xml:space="preserve">2×10 GbE</w:t>
            </w:r>
          </w:p>
        </w:tc>
        <w:tc>
          <w:tcPr/>
          <w:p>
            <w:pPr>
              <w:pStyle w:val="Compact"/>
            </w:pPr>
            <w:r>
              <w:t xml:space="preserve">SW-A-1 / SW-A-2</w:t>
            </w:r>
          </w:p>
        </w:tc>
        <w:tc>
          <w:tcPr/>
          <w:p>
            <w:pPr>
              <w:pStyle w:val="Compact"/>
            </w:pPr>
            <w:r>
              <w:t xml:space="preserve">Poll API + IA</w:t>
            </w:r>
          </w:p>
        </w:tc>
      </w:tr>
      <w:tr>
        <w:tc>
          <w:tcPr/>
          <w:p>
            <w:pPr>
              <w:pStyle w:val="Compact"/>
            </w:pPr>
            <w:r>
              <w:t xml:space="preserve">Applicatif Salle B</w:t>
            </w:r>
          </w:p>
        </w:tc>
        <w:tc>
          <w:tcPr/>
          <w:p>
            <w:pPr>
              <w:pStyle w:val="Compact"/>
            </w:pPr>
            <w:r>
              <w:t xml:space="preserve">eth0+eth1 (LACP)</w:t>
            </w:r>
          </w:p>
        </w:tc>
        <w:tc>
          <w:tcPr/>
          <w:p>
            <w:pPr>
              <w:pStyle w:val="Compact"/>
            </w:pPr>
            <w:r>
              <w:t xml:space="preserve">Serveurs app</w:t>
            </w:r>
            <w:r>
              <w:t xml:space="preserve"> </w:t>
            </w:r>
            <w:r>
              <w:rPr>
                <w:rStyle w:val="VerbatimChar"/>
              </w:rPr>
              <w:t xml:space="preserve">[À RENSEIGNER]</w:t>
            </w:r>
          </w:p>
        </w:tc>
        <w:tc>
          <w:tcPr/>
          <w:p>
            <w:pPr>
              <w:pStyle w:val="Compact"/>
            </w:pPr>
            <w:r>
              <w:t xml:space="preserve">2×10 GbE</w:t>
            </w:r>
          </w:p>
        </w:tc>
        <w:tc>
          <w:tcPr/>
          <w:p>
            <w:pPr>
              <w:pStyle w:val="Compact"/>
            </w:pPr>
            <w:r>
              <w:t xml:space="preserve">SW-B-1 / SW-B-2</w:t>
            </w:r>
          </w:p>
        </w:tc>
        <w:tc>
          <w:tcPr/>
          <w:p>
            <w:pPr>
              <w:pStyle w:val="Compact"/>
            </w:pPr>
            <w:r>
              <w:t xml:space="preserve">Standby</w:t>
            </w:r>
          </w:p>
        </w:tc>
      </w:tr>
      <w:tr>
        <w:tc>
          <w:tcPr/>
          <w:p>
            <w:pPr>
              <w:pStyle w:val="Compact"/>
            </w:pPr>
            <w:r>
              <w:t xml:space="preserve">Applicatif Salle B</w:t>
            </w:r>
          </w:p>
        </w:tc>
        <w:tc>
          <w:tcPr/>
          <w:p>
            <w:pPr>
              <w:pStyle w:val="Compact"/>
            </w:pPr>
            <w:r>
              <w:t xml:space="preserve">eth2</w:t>
            </w:r>
          </w:p>
        </w:tc>
        <w:tc>
          <w:tcPr/>
          <w:p>
            <w:pPr>
              <w:pStyle w:val="Compact"/>
            </w:pPr>
            <w:r>
              <w:t xml:space="preserve">Stockage/réplication</w:t>
            </w:r>
            <w:r>
              <w:t xml:space="preserve"> </w:t>
            </w:r>
            <w:r>
              <w:rPr>
                <w:rStyle w:val="VerbatimChar"/>
              </w:rPr>
              <w:t xml:space="preserve">[À RENSEIGNER]</w:t>
            </w:r>
          </w:p>
        </w:tc>
        <w:tc>
          <w:tcPr/>
          <w:p>
            <w:pPr>
              <w:pStyle w:val="Compact"/>
            </w:pPr>
            <w:r>
              <w:t xml:space="preserve">10 GbE</w:t>
            </w:r>
          </w:p>
        </w:tc>
        <w:tc>
          <w:tcPr/>
          <w:p>
            <w:pPr>
              <w:pStyle w:val="Compact"/>
            </w:pPr>
            <w:r>
              <w:t xml:space="preserve">SW-B-x</w:t>
            </w:r>
          </w:p>
        </w:tc>
        <w:tc>
          <w:tcPr/>
          <w:p>
            <w:pPr>
              <w:pStyle w:val="Compact"/>
            </w:pPr>
            <w:r>
              <w:t xml:space="preserve">Réception réplication</w:t>
            </w:r>
          </w:p>
        </w:tc>
      </w:tr>
      <w:tr>
        <w:tc>
          <w:tcPr/>
          <w:p>
            <w:pPr>
              <w:pStyle w:val="Compact"/>
            </w:pPr>
            <w:r>
              <w:t xml:space="preserve">GPU Salle B</w:t>
            </w:r>
          </w:p>
        </w:tc>
        <w:tc>
          <w:tcPr/>
          <w:p>
            <w:pPr>
              <w:pStyle w:val="Compact"/>
            </w:pPr>
            <w:r>
              <w:t xml:space="preserve">eth0+eth1 (LACP)</w:t>
            </w:r>
          </w:p>
        </w:tc>
        <w:tc>
          <w:tcPr/>
          <w:p>
            <w:pPr>
              <w:pStyle w:val="Compact"/>
            </w:pPr>
            <w:r>
              <w:t xml:space="preserve">Serveurs app</w:t>
            </w:r>
            <w:r>
              <w:t xml:space="preserve"> </w:t>
            </w:r>
            <w:r>
              <w:rPr>
                <w:rStyle w:val="VerbatimChar"/>
              </w:rPr>
              <w:t xml:space="preserve">[À RENSEIGNER]</w:t>
            </w:r>
          </w:p>
        </w:tc>
        <w:tc>
          <w:tcPr/>
          <w:p>
            <w:pPr>
              <w:pStyle w:val="Compact"/>
            </w:pPr>
            <w:r>
              <w:t xml:space="preserve">2×10 GbE</w:t>
            </w:r>
          </w:p>
        </w:tc>
        <w:tc>
          <w:tcPr/>
          <w:p>
            <w:pPr>
              <w:pStyle w:val="Compact"/>
            </w:pPr>
            <w:r>
              <w:t xml:space="preserve">SW-B-1 / SW-B-2</w:t>
            </w:r>
          </w:p>
        </w:tc>
        <w:tc>
          <w:tcPr/>
          <w:p>
            <w:pPr>
              <w:pStyle w:val="Compact"/>
            </w:pPr>
            <w:r>
              <w:t xml:space="preserve">Standby</w:t>
            </w:r>
          </w:p>
        </w:tc>
      </w:tr>
    </w:tbl>
    <w:p>
      <w:pPr>
        <w:pStyle w:val="BodyText"/>
      </w:pPr>
      <w:r>
        <w:rPr>
          <w:i/>
          <w:iCs/>
        </w:rPr>
        <w:t xml:space="preserve">Ce tableau de raccordement sera remis au format Microsoft Visio (.vsdx) lors de la phase d'implantation, complété des éléments propres au site.</w:t>
      </w:r>
    </w:p>
    <w:p>
      <w:r>
        <w:pict>
          <v:rect style="width:0;height:1.5pt" o:hralign="center" o:hrstd="t" o:hr="t"/>
        </w:pict>
      </w:r>
    </w:p>
    <w:bookmarkEnd w:id="65"/>
    <w:bookmarkEnd w:id="66"/>
    <w:bookmarkStart w:id="73" w:name="X5d2055233a37e7f323a1bb5f875847c50cf7098"/>
    <w:p>
      <w:pPr>
        <w:pStyle w:val="Heading2"/>
      </w:pPr>
      <w:r>
        <w:t xml:space="preserve">7. Schéma réseau de niveau 1 (global et par salle)</w:t>
      </w:r>
    </w:p>
    <w:bookmarkStart w:id="70" w:name="X9a9c6d09a66b0cadd940e379f141ff5c3b98c2a"/>
    <w:p>
      <w:pPr>
        <w:pStyle w:val="Heading3"/>
      </w:pPr>
      <w:r>
        <w:t xml:space="preserve">7.1 Schéma global (niveau 1)</w:t>
      </w:r>
    </w:p>
    <w:p>
      <w:pPr>
        <w:pStyle w:val="FirstParagraph"/>
      </w:pPr>
      <w:r>
        <w:drawing>
          <wp:inline>
            <wp:extent cx="5334000" cy="9067800"/>
            <wp:effectExtent b="0" l="0" r="0" t="0"/>
            <wp:docPr descr="Schéma réseau de niveau 1" title="" id="68" name="Picture"/>
            <a:graphic>
              <a:graphicData uri="http://schemas.openxmlformats.org/drawingml/2006/picture">
                <pic:pic>
                  <pic:nvPicPr>
                    <pic:cNvPr descr="img/reseau-n1.png" id="69" name="Picture"/>
                    <pic:cNvPicPr>
                      <a:picLocks noChangeArrowheads="1" noChangeAspect="1"/>
                    </pic:cNvPicPr>
                  </pic:nvPicPr>
                  <pic:blipFill>
                    <a:blip r:embed="rId67"/>
                    <a:stretch>
                      <a:fillRect/>
                    </a:stretch>
                  </pic:blipFill>
                  <pic:spPr bwMode="auto">
                    <a:xfrm>
                      <a:off x="0" y="0"/>
                      <a:ext cx="5334000" cy="9067800"/>
                    </a:xfrm>
                    <a:prstGeom prst="rect">
                      <a:avLst/>
                    </a:prstGeom>
                    <a:noFill/>
                    <a:ln w="9525">
                      <a:noFill/>
                      <a:headEnd/>
                      <a:tailEnd/>
                    </a:ln>
                  </pic:spPr>
                </pic:pic>
              </a:graphicData>
            </a:graphic>
          </wp:inline>
        </w:drawing>
      </w:r>
    </w:p>
    <w:p>
      <w:pPr>
        <w:pStyle w:val="BodyText"/>
      </w:pPr>
      <w:r>
        <w:rPr>
          <w:i/>
          <w:iCs/>
        </w:rPr>
        <w:t xml:space="preserve">Figure 2 — Schéma réseau de niveau 1 : cœur de réseau, commutateurs, serveurs et lien inter-salles Salle A ↔ Salle B (version Visio .vsdx remise en phase d'implantation).</w:t>
      </w:r>
    </w:p>
    <w:p>
      <w:pPr>
        <w:pStyle w:val="BodyText"/>
      </w:pPr>
      <w:r>
        <w:rPr>
          <w:b/>
          <w:bCs/>
        </w:rPr>
        <w:t xml:space="preserve">Version texte du synoptique :</w:t>
      </w:r>
    </w:p>
    <w:p>
      <w:pPr>
        <w:pStyle w:val="SourceCode"/>
      </w:pPr>
      <w:r>
        <w:rPr>
          <w:rStyle w:val="VerbatimChar"/>
        </w:rPr>
        <w:t xml:space="preserve">                       ┌───────────────────────────┐</w:t>
      </w:r>
      <w:r>
        <w:br/>
      </w:r>
      <w:r>
        <w:rPr>
          <w:rStyle w:val="VerbatimChar"/>
        </w:rPr>
        <w:t xml:space="preserve">                       │   Réseau bureautique       │</w:t>
      </w:r>
      <w:r>
        <w:br/>
      </w:r>
      <w:r>
        <w:rPr>
          <w:rStyle w:val="VerbatimChar"/>
        </w:rPr>
        <w:t xml:space="preserve">                       │   (postes utilisateurs)    │</w:t>
      </w:r>
      <w:r>
        <w:br/>
      </w:r>
      <w:r>
        <w:rPr>
          <w:rStyle w:val="VerbatimChar"/>
        </w:rPr>
        <w:t xml:space="preserve">                       └─────────────┬─────────────┘</w:t>
      </w:r>
      <w:r>
        <w:br/>
      </w:r>
      <w:r>
        <w:rPr>
          <w:rStyle w:val="VerbatimChar"/>
        </w:rPr>
        <w:t xml:space="preserve">                                     │ 443/TCP</w:t>
      </w:r>
      <w:r>
        <w:br/>
      </w:r>
      <w:r>
        <w:rPr>
          <w:rStyle w:val="VerbatimChar"/>
        </w:rPr>
        <w:t xml:space="preserve">                       ┌─────────────▼─────────────┐</w:t>
      </w:r>
      <w:r>
        <w:br/>
      </w:r>
      <w:r>
        <w:rPr>
          <w:rStyle w:val="VerbatimChar"/>
        </w:rPr>
        <w:t xml:space="preserve">                       │  Cœur de réseau / Pare-feu │</w:t>
      </w:r>
      <w:r>
        <w:br/>
      </w:r>
      <w:r>
        <w:rPr>
          <w:rStyle w:val="VerbatimChar"/>
        </w:rPr>
        <w:t xml:space="preserve">                       │        (Client)       │</w:t>
      </w:r>
      <w:r>
        <w:br/>
      </w:r>
      <w:r>
        <w:rPr>
          <w:rStyle w:val="VerbatimChar"/>
        </w:rPr>
        <w:t xml:space="preserve">                       └──────┬──────────────┬─────┘</w:t>
      </w:r>
      <w:r>
        <w:br/>
      </w:r>
      <w:r>
        <w:rPr>
          <w:rStyle w:val="VerbatimChar"/>
        </w:rPr>
        <w:t xml:space="preserve">                              │              │</w:t>
      </w:r>
      <w:r>
        <w:br/>
      </w:r>
      <w:r>
        <w:rPr>
          <w:rStyle w:val="VerbatimChar"/>
        </w:rPr>
        <w:t xml:space="preserve">                    liaison inter-salles (VLAN réplication/stockage)</w:t>
      </w:r>
      <w:r>
        <w:br/>
      </w:r>
      <w:r>
        <w:rPr>
          <w:rStyle w:val="VerbatimChar"/>
        </w:rPr>
        <w:t xml:space="preserve">                              │              │</w:t>
      </w:r>
      <w:r>
        <w:br/>
      </w:r>
      <w:r>
        <w:rPr>
          <w:rStyle w:val="VerbatimChar"/>
        </w:rPr>
        <w:t xml:space="preserve">        ┌─────────────────────▼──┐        ┌──▼─────────────────────┐</w:t>
      </w:r>
      <w:r>
        <w:br/>
      </w:r>
      <w:r>
        <w:rPr>
          <w:rStyle w:val="VerbatimChar"/>
        </w:rPr>
        <w:t xml:space="preserve">        │       SALLE A         │        │       SALLE B         │</w:t>
      </w:r>
      <w:r>
        <w:br/>
      </w:r>
      <w:r>
        <w:rPr>
          <w:rStyle w:val="VerbatimChar"/>
        </w:rPr>
        <w:t xml:space="preserve">        │        (ACTIF)          │◄──────►│      (SECOURS)          │</w:t>
      </w:r>
      <w:r>
        <w:br/>
      </w:r>
      <w:r>
        <w:rPr>
          <w:rStyle w:val="VerbatimChar"/>
        </w:rPr>
        <w:t xml:space="preserve">        │  SW-A-1 / SW-A-2    │        │  SW-B-1 / SW-B-2    │</w:t>
      </w:r>
      <w:r>
        <w:br/>
      </w:r>
      <w:r>
        <w:rPr>
          <w:rStyle w:val="VerbatimChar"/>
        </w:rPr>
        <w:t xml:space="preserve">        │  Serveur app + GPU      │        │  Serveur app + GPU      │</w:t>
      </w:r>
      <w:r>
        <w:br/>
      </w:r>
      <w:r>
        <w:rPr>
          <w:rStyle w:val="VerbatimChar"/>
        </w:rPr>
        <w:t xml:space="preserve">        └─────────────────────────┘        └─────────────────────────┘</w:t>
      </w:r>
    </w:p>
    <w:bookmarkEnd w:id="70"/>
    <w:bookmarkStart w:id="71" w:name="X07cc592b5fcf6be40e8140e409dd1dfda3ac552"/>
    <w:p>
      <w:pPr>
        <w:pStyle w:val="Heading3"/>
      </w:pPr>
      <w:r>
        <w:t xml:space="preserve">7.2 Schéma de salle — Salle A (actif)</w:t>
      </w:r>
    </w:p>
    <w:p>
      <w:pPr>
        <w:pStyle w:val="SourceCode"/>
      </w:pPr>
      <w:r>
        <w:rPr>
          <w:rStyle w:val="VerbatimChar"/>
        </w:rPr>
        <w:t xml:space="preserve">   SALLE A</w:t>
      </w:r>
      <w:r>
        <w:br/>
      </w:r>
      <w:r>
        <w:rPr>
          <w:rStyle w:val="VerbatimChar"/>
        </w:rPr>
        <w:t xml:space="preserve">   ┌───────────────────────────────────────────────┐</w:t>
      </w:r>
      <w:r>
        <w:br/>
      </w:r>
      <w:r>
        <w:rPr>
          <w:rStyle w:val="VerbatimChar"/>
        </w:rPr>
        <w:t xml:space="preserve">   │  SW-A-1 ═══ (LACP) ═══ SW-A-2              │</w:t>
      </w:r>
      <w:r>
        <w:br/>
      </w:r>
      <w:r>
        <w:rPr>
          <w:rStyle w:val="VerbatimChar"/>
        </w:rPr>
        <w:t xml:space="preserve">   │      ║                        ║                │</w:t>
      </w:r>
      <w:r>
        <w:br/>
      </w:r>
      <w:r>
        <w:rPr>
          <w:rStyle w:val="VerbatimChar"/>
        </w:rPr>
        <w:t xml:space="preserve">   │  ┌───╨─────────┐        ┌─────╨───────┐        │</w:t>
      </w:r>
      <w:r>
        <w:br/>
      </w:r>
      <w:r>
        <w:rPr>
          <w:rStyle w:val="VerbatimChar"/>
        </w:rPr>
        <w:t xml:space="preserve">   │  │ Serveur app │        │ Serveur GPU │        │</w:t>
      </w:r>
      <w:r>
        <w:br/>
      </w:r>
      <w:r>
        <w:rPr>
          <w:rStyle w:val="VerbatimChar"/>
        </w:rPr>
        <w:t xml:space="preserve">   │  │  (Docker)   │        │ (whisperX + │        │</w:t>
      </w:r>
      <w:r>
        <w:br/>
      </w:r>
      <w:r>
        <w:rPr>
          <w:rStyle w:val="VerbatimChar"/>
        </w:rPr>
        <w:t xml:space="preserve">   │  │             │        │  LLM local) │        │</w:t>
      </w:r>
      <w:r>
        <w:br/>
      </w:r>
      <w:r>
        <w:rPr>
          <w:rStyle w:val="VerbatimChar"/>
        </w:rPr>
        <w:t xml:space="preserve">   │  └───┬─────────┘        └─────────────┘        │</w:t>
      </w:r>
      <w:r>
        <w:br/>
      </w:r>
      <w:r>
        <w:rPr>
          <w:rStyle w:val="VerbatimChar"/>
        </w:rPr>
        <w:t xml:space="preserve">   │      │ mgmt (VLAN admin)                       │</w:t>
      </w:r>
      <w:r>
        <w:br/>
      </w:r>
      <w:r>
        <w:rPr>
          <w:rStyle w:val="VerbatimChar"/>
        </w:rPr>
        <w:t xml:space="preserve">   │  ┌───╨───────┐                                 │</w:t>
      </w:r>
      <w:r>
        <w:br/>
      </w:r>
      <w:r>
        <w:rPr>
          <w:rStyle w:val="VerbatimChar"/>
        </w:rPr>
        <w:t xml:space="preserve">   │  │ SW-MGMT   │───── vers bastion d'admin        │</w:t>
      </w:r>
      <w:r>
        <w:br/>
      </w:r>
      <w:r>
        <w:rPr>
          <w:rStyle w:val="VerbatimChar"/>
        </w:rPr>
        <w:t xml:space="preserve">   │  └───────────┘                                 │</w:t>
      </w:r>
      <w:r>
        <w:br/>
      </w:r>
      <w:r>
        <w:rPr>
          <w:rStyle w:val="VerbatimChar"/>
        </w:rPr>
        <w:t xml:space="preserve">   └───────────────────────────────────────────────┘</w:t>
      </w:r>
      <w:r>
        <w:br/>
      </w:r>
      <w:r>
        <w:rPr>
          <w:rStyle w:val="VerbatimChar"/>
        </w:rPr>
        <w:t xml:space="preserve">             │ VLAN réplication/stockage → Salle B</w:t>
      </w:r>
    </w:p>
    <w:bookmarkEnd w:id="71"/>
    <w:bookmarkStart w:id="72" w:name="Xbb1e433149bfe5fcd131f07952cf0e6c2f9803f"/>
    <w:p>
      <w:pPr>
        <w:pStyle w:val="Heading3"/>
      </w:pPr>
      <w:r>
        <w:t xml:space="preserve">7.3 Schéma de salle — Salle B (secours passif)</w:t>
      </w:r>
    </w:p>
    <w:p>
      <w:pPr>
        <w:pStyle w:val="SourceCode"/>
      </w:pPr>
      <w:r>
        <w:rPr>
          <w:rStyle w:val="VerbatimChar"/>
        </w:rPr>
        <w:t xml:space="preserve">   SALLE B</w:t>
      </w:r>
      <w:r>
        <w:br/>
      </w:r>
      <w:r>
        <w:rPr>
          <w:rStyle w:val="VerbatimChar"/>
        </w:rPr>
        <w:t xml:space="preserve">   ┌───────────────────────────────────────────────┐</w:t>
      </w:r>
      <w:r>
        <w:br/>
      </w:r>
      <w:r>
        <w:rPr>
          <w:rStyle w:val="VerbatimChar"/>
        </w:rPr>
        <w:t xml:space="preserve">   │  SW-B-1 ═══ (LACP) ═══ SW-B-2              │</w:t>
      </w:r>
      <w:r>
        <w:br/>
      </w:r>
      <w:r>
        <w:rPr>
          <w:rStyle w:val="VerbatimChar"/>
        </w:rPr>
        <w:t xml:space="preserve">   │      ║                        ║                │</w:t>
      </w:r>
      <w:r>
        <w:br/>
      </w:r>
      <w:r>
        <w:rPr>
          <w:rStyle w:val="VerbatimChar"/>
        </w:rPr>
        <w:t xml:space="preserve">   │  ┌───╨─────────┐        ┌─────╨───────┐        │</w:t>
      </w:r>
      <w:r>
        <w:br/>
      </w:r>
      <w:r>
        <w:rPr>
          <w:rStyle w:val="VerbatimChar"/>
        </w:rPr>
        <w:t xml:space="preserve">   │  │ Serveur app │        │ Serveur GPU │        │</w:t>
      </w:r>
      <w:r>
        <w:br/>
      </w:r>
      <w:r>
        <w:rPr>
          <w:rStyle w:val="VerbatimChar"/>
        </w:rPr>
        <w:t xml:space="preserve">   │  │ (standby —  │        │ (standby)   │        │</w:t>
      </w:r>
      <w:r>
        <w:br/>
      </w:r>
      <w:r>
        <w:rPr>
          <w:rStyle w:val="VerbatimChar"/>
        </w:rPr>
        <w:t xml:space="preserve">   │  │  réception  │        │             │        │</w:t>
      </w:r>
      <w:r>
        <w:br/>
      </w:r>
      <w:r>
        <w:rPr>
          <w:rStyle w:val="VerbatimChar"/>
        </w:rPr>
        <w:t xml:space="preserve">   │  │  réplication)│       └─────────────┘        │</w:t>
      </w:r>
      <w:r>
        <w:br/>
      </w:r>
      <w:r>
        <w:rPr>
          <w:rStyle w:val="VerbatimChar"/>
        </w:rPr>
        <w:t xml:space="preserve">   │  └───┬─────────┘                               │</w:t>
      </w:r>
      <w:r>
        <w:br/>
      </w:r>
      <w:r>
        <w:rPr>
          <w:rStyle w:val="VerbatimChar"/>
        </w:rPr>
        <w:t xml:space="preserve">   │      │ mgmt (VLAN admin)                       │</w:t>
      </w:r>
      <w:r>
        <w:br/>
      </w:r>
      <w:r>
        <w:rPr>
          <w:rStyle w:val="VerbatimChar"/>
        </w:rPr>
        <w:t xml:space="preserve">   │  ┌───╨───────┐                                 │</w:t>
      </w:r>
      <w:r>
        <w:br/>
      </w:r>
      <w:r>
        <w:rPr>
          <w:rStyle w:val="VerbatimChar"/>
        </w:rPr>
        <w:t xml:space="preserve">   │  │ SW-MGMT   │───── vers bastion d'admin        │</w:t>
      </w:r>
      <w:r>
        <w:br/>
      </w:r>
      <w:r>
        <w:rPr>
          <w:rStyle w:val="VerbatimChar"/>
        </w:rPr>
        <w:t xml:space="preserve">   │  └───────────┘                                 │</w:t>
      </w:r>
      <w:r>
        <w:br/>
      </w:r>
      <w:r>
        <w:rPr>
          <w:rStyle w:val="VerbatimChar"/>
        </w:rPr>
        <w:t xml:space="preserve">   └───────────────────────────────────────────────┘</w:t>
      </w:r>
      <w:r>
        <w:br/>
      </w:r>
      <w:r>
        <w:rPr>
          <w:rStyle w:val="VerbatimChar"/>
        </w:rPr>
        <w:t xml:space="preserve">             ▲ VLAN réplication/stockage ← Salle A</w:t>
      </w:r>
    </w:p>
    <w:p>
      <w:pPr>
        <w:pStyle w:val="FirstParagraph"/>
      </w:pPr>
      <w:r>
        <w:rPr>
          <w:i/>
          <w:iCs/>
        </w:rPr>
        <w:t xml:space="preserve">Ces schémas réseau de niveau 1 seront remis au format Microsoft Visio (.vsdx) lors de la phase d'implantation, complétés des éléments propres au site.</w:t>
      </w:r>
    </w:p>
    <w:p>
      <w:r>
        <w:pict>
          <v:rect style="width:0;height:1.5pt" o:hralign="center" o:hrstd="t" o:hr="t"/>
        </w:pict>
      </w:r>
    </w:p>
    <w:bookmarkEnd w:id="72"/>
    <w:bookmarkEnd w:id="73"/>
    <w:bookmarkStart w:id="81" w:name="X5055bf9e4d3106536f752f076f2e5c47d5fa4d3"/>
    <w:p>
      <w:pPr>
        <w:pStyle w:val="Heading2"/>
      </w:pPr>
      <w:r>
        <w:t xml:space="preserve">8. Schéma logique niveaux 2 et 3 (VLAN, adressage, routage, pare-feu)</w:t>
      </w:r>
    </w:p>
    <w:p>
      <w:pPr>
        <w:pStyle w:val="FirstParagraph"/>
      </w:pPr>
      <w:r>
        <w:drawing>
          <wp:inline>
            <wp:extent cx="5334000" cy="1028276"/>
            <wp:effectExtent b="0" l="0" r="0" t="0"/>
            <wp:docPr descr="Schéma logique niveaux 2 et 3" title="" id="75" name="Picture"/>
            <a:graphic>
              <a:graphicData uri="http://schemas.openxmlformats.org/drawingml/2006/picture">
                <pic:pic>
                  <pic:nvPicPr>
                    <pic:cNvPr descr="img/reseau-n23.png" id="76" name="Picture"/>
                    <pic:cNvPicPr>
                      <a:picLocks noChangeArrowheads="1" noChangeAspect="1"/>
                    </pic:cNvPicPr>
                  </pic:nvPicPr>
                  <pic:blipFill>
                    <a:blip r:embed="rId74"/>
                    <a:stretch>
                      <a:fillRect/>
                    </a:stretch>
                  </pic:blipFill>
                  <pic:spPr bwMode="auto">
                    <a:xfrm>
                      <a:off x="0" y="0"/>
                      <a:ext cx="5334000" cy="1028276"/>
                    </a:xfrm>
                    <a:prstGeom prst="rect">
                      <a:avLst/>
                    </a:prstGeom>
                    <a:noFill/>
                    <a:ln w="9525">
                      <a:noFill/>
                      <a:headEnd/>
                      <a:tailEnd/>
                    </a:ln>
                  </pic:spPr>
                </pic:pic>
              </a:graphicData>
            </a:graphic>
          </wp:inline>
        </w:drawing>
      </w:r>
    </w:p>
    <w:p>
      <w:pPr>
        <w:pStyle w:val="BodyText"/>
      </w:pPr>
      <w:r>
        <w:rPr>
          <w:i/>
          <w:iCs/>
        </w:rPr>
        <w:t xml:space="preserve">Figure 3 — Schéma logique niveaux 2 et 3 : VLAN, plan d'adressage IP, pare-feu et règles de filtrage (version Visio .vsdx remise en phase d'implantation).</w:t>
      </w:r>
    </w:p>
    <w:bookmarkStart w:id="77" w:name="Xc4b8f6fa6d112d826460ea8617399148c7b74ae"/>
    <w:p>
      <w:pPr>
        <w:pStyle w:val="Heading3"/>
      </w:pPr>
      <w:r>
        <w:t xml:space="preserve">8.1 VLAN proposés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VLAN (fonction)</w:t>
            </w:r>
          </w:p>
        </w:tc>
        <w:tc>
          <w:tcPr/>
          <w:p>
            <w:pPr>
              <w:pStyle w:val="Compact"/>
            </w:pPr>
            <w:r>
              <w:t xml:space="preserve">N° VLAN</w:t>
            </w:r>
          </w:p>
        </w:tc>
        <w:tc>
          <w:tcPr/>
          <w:p>
            <w:pPr>
              <w:pStyle w:val="Compact"/>
            </w:pPr>
            <w:r>
              <w:t xml:space="preserve">Usage</w:t>
            </w:r>
          </w:p>
        </w:tc>
      </w:tr>
      <w:tr>
        <w:tc>
          <w:tcPr/>
          <w:p>
            <w:pPr>
              <w:pStyle w:val="Compact"/>
            </w:pPr>
            <w:r>
              <w:t xml:space="preserve">Serveurs applicatifs</w:t>
            </w:r>
          </w:p>
        </w:tc>
        <w:tc>
          <w:tcPr/>
          <w:p>
            <w:pPr>
              <w:pStyle w:val="Compact"/>
            </w:pPr>
            <w:r>
              <w:rPr>
                <w:rStyle w:val="VerbatimChar"/>
              </w:rPr>
              <w:t xml:space="preserve">[À RENSEIGNER — ex. 10]</w:t>
            </w:r>
          </w:p>
        </w:tc>
        <w:tc>
          <w:tcPr/>
          <w:p>
            <w:pPr>
              <w:pStyle w:val="Compact"/>
            </w:pPr>
            <w:r>
              <w:t xml:space="preserve">Serveurs applicatifs et GPU, flux applicatifs, exposition VIP 443</w:t>
            </w:r>
          </w:p>
        </w:tc>
      </w:tr>
      <w:tr>
        <w:tc>
          <w:tcPr/>
          <w:p>
            <w:pPr>
              <w:pStyle w:val="Compact"/>
            </w:pPr>
            <w:r>
              <w:t xml:space="preserve">Administration</w:t>
            </w:r>
          </w:p>
        </w:tc>
        <w:tc>
          <w:tcPr/>
          <w:p>
            <w:pPr>
              <w:pStyle w:val="Compact"/>
            </w:pPr>
            <w:r>
              <w:rPr>
                <w:rStyle w:val="VerbatimChar"/>
              </w:rPr>
              <w:t xml:space="preserve">[À RENSEIGNER — ex. 20]</w:t>
            </w:r>
          </w:p>
        </w:tc>
        <w:tc>
          <w:tcPr/>
          <w:p>
            <w:pPr>
              <w:pStyle w:val="Compact"/>
            </w:pPr>
            <w:r>
              <w:t xml:space="preserve">Interfaces hors-bande (IPMI), SSH d'exploitation, bastion, supervision</w:t>
            </w:r>
          </w:p>
        </w:tc>
      </w:tr>
      <w:tr>
        <w:tc>
          <w:tcPr/>
          <w:p>
            <w:pPr>
              <w:pStyle w:val="Compact"/>
            </w:pPr>
            <w:r>
              <w:t xml:space="preserve">Stockage / réplication</w:t>
            </w:r>
          </w:p>
        </w:tc>
        <w:tc>
          <w:tcPr/>
          <w:p>
            <w:pPr>
              <w:pStyle w:val="Compact"/>
            </w:pPr>
            <w:r>
              <w:rPr>
                <w:rStyle w:val="VerbatimChar"/>
              </w:rPr>
              <w:t xml:space="preserve">[À RENSEIGNER — ex. 30]</w:t>
            </w:r>
          </w:p>
        </w:tc>
        <w:tc>
          <w:tcPr/>
          <w:p>
            <w:pPr>
              <w:pStyle w:val="Compact"/>
            </w:pPr>
            <w:r>
              <w:t xml:space="preserve">Réplication PostgreSQL et synchronisation de stockage inter-salles</w:t>
            </w:r>
          </w:p>
        </w:tc>
      </w:tr>
    </w:tbl>
    <w:p>
      <w:pPr>
        <w:pStyle w:val="BlockText"/>
      </w:pPr>
      <w:r>
        <w:t xml:space="preserve">Le VLAN stockage/réplication est</w:t>
      </w:r>
      <w:r>
        <w:t xml:space="preserve"> </w:t>
      </w:r>
      <w:r>
        <w:rPr>
          <w:b/>
          <w:bCs/>
        </w:rPr>
        <w:t xml:space="preserve">proposé</w:t>
      </w:r>
      <w:r>
        <w:t xml:space="preserve"> </w:t>
      </w:r>
      <w:r>
        <w:t xml:space="preserve">pour isoler le trafic inter-salles à fort volume et le protéger. À défaut, la réplication peut transiter par le VLAN serveurs applicatifs avec filtrage — à arbitrer avec la DSI.</w:t>
      </w:r>
    </w:p>
    <w:bookmarkEnd w:id="77"/>
    <w:bookmarkStart w:id="78" w:name="X5c1fb499003a963cf6ccededc43617af997fd4c"/>
    <w:p>
      <w:pPr>
        <w:pStyle w:val="Heading3"/>
      </w:pPr>
      <w:r>
        <w:t xml:space="preserve">8.2 Plan d'adressage IP type (RFC 1918 — exemple à substituer)</w:t>
      </w:r>
    </w:p>
    <w:p>
      <w:pPr>
        <w:pStyle w:val="BlockText"/>
      </w:pPr>
      <w:r>
        <w:rPr>
          <w:b/>
          <w:bCs/>
        </w:rPr>
        <w:t xml:space="preserve">Les adresses ci-dessous sont des exemples RFC 1918 à remplacer intégralement par le plan d'adressage réel du Client.</w:t>
      </w:r>
      <w:r>
        <w:t xml:space="preserve"> </w:t>
      </w:r>
      <w:r>
        <w:t xml:space="preserve">Elles n'ont qu'une valeur illustrative de structure.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VLAN</w:t>
            </w:r>
          </w:p>
        </w:tc>
        <w:tc>
          <w:tcPr/>
          <w:p>
            <w:pPr>
              <w:pStyle w:val="Compact"/>
            </w:pPr>
            <w:r>
              <w:t xml:space="preserve">Sous-réseau (exemple)</w:t>
            </w:r>
          </w:p>
        </w:tc>
        <w:tc>
          <w:tcPr/>
          <w:p>
            <w:pPr>
              <w:pStyle w:val="Compact"/>
            </w:pPr>
            <w:r>
              <w:t xml:space="preserve">Passerelle (exemple)</w:t>
            </w:r>
          </w:p>
        </w:tc>
        <w:tc>
          <w:tcPr/>
          <w:p>
            <w:pPr>
              <w:pStyle w:val="Compact"/>
            </w:pPr>
            <w:r>
              <w:t xml:space="preserve">Hôtes (exemple)</w:t>
            </w:r>
          </w:p>
        </w:tc>
      </w:tr>
      <w:tr>
        <w:tc>
          <w:tcPr/>
          <w:p>
            <w:pPr>
              <w:pStyle w:val="Compact"/>
            </w:pPr>
            <w:r>
              <w:t xml:space="preserve">Serveurs app Salle A</w:t>
            </w:r>
          </w:p>
        </w:tc>
        <w:tc>
          <w:tcPr/>
          <w:p>
            <w:pPr>
              <w:pStyle w:val="Compact"/>
            </w:pPr>
            <w:r>
              <w:rPr>
                <w:rStyle w:val="VerbatimChar"/>
              </w:rPr>
              <w:t xml:space="preserve">10.10.10.0/24</w:t>
            </w:r>
          </w:p>
        </w:tc>
        <w:tc>
          <w:tcPr/>
          <w:p>
            <w:pPr>
              <w:pStyle w:val="Compact"/>
            </w:pPr>
            <w:r>
              <w:rPr>
                <w:rStyle w:val="VerbatimChar"/>
              </w:rPr>
              <w:t xml:space="preserve">10.10.10.1</w:t>
            </w:r>
          </w:p>
        </w:tc>
        <w:tc>
          <w:tcPr/>
          <w:p>
            <w:pPr>
              <w:pStyle w:val="Compact"/>
            </w:pPr>
            <w:r>
              <w:t xml:space="preserve">app Salle A</w:t>
            </w:r>
            <w:r>
              <w:t xml:space="preserve"> </w:t>
            </w:r>
            <w:r>
              <w:rPr>
                <w:rStyle w:val="VerbatimChar"/>
              </w:rPr>
              <w:t xml:space="preserve">10.10.10.11</w:t>
            </w:r>
            <w:r>
              <w:t xml:space="preserve">, GPU Salle A</w:t>
            </w:r>
            <w:r>
              <w:t xml:space="preserve"> </w:t>
            </w:r>
            <w:r>
              <w:rPr>
                <w:rStyle w:val="VerbatimChar"/>
              </w:rPr>
              <w:t xml:space="preserve">10.10.10.12</w:t>
            </w:r>
            <w:r>
              <w:t xml:space="preserve">, VIP</w:t>
            </w:r>
            <w:r>
              <w:t xml:space="preserve"> </w:t>
            </w:r>
            <w:r>
              <w:rPr>
                <w:rStyle w:val="VerbatimChar"/>
              </w:rPr>
              <w:t xml:space="preserve">10.10.10.10</w:t>
            </w:r>
          </w:p>
        </w:tc>
      </w:tr>
      <w:tr>
        <w:tc>
          <w:tcPr/>
          <w:p>
            <w:pPr>
              <w:pStyle w:val="Compact"/>
            </w:pPr>
            <w:r>
              <w:t xml:space="preserve">Serveurs app Salle B</w:t>
            </w:r>
          </w:p>
        </w:tc>
        <w:tc>
          <w:tcPr/>
          <w:p>
            <w:pPr>
              <w:pStyle w:val="Compact"/>
            </w:pPr>
            <w:r>
              <w:rPr>
                <w:rStyle w:val="VerbatimChar"/>
              </w:rPr>
              <w:t xml:space="preserve">10.10.11.0/24</w:t>
            </w:r>
          </w:p>
        </w:tc>
        <w:tc>
          <w:tcPr/>
          <w:p>
            <w:pPr>
              <w:pStyle w:val="Compact"/>
            </w:pPr>
            <w:r>
              <w:rPr>
                <w:rStyle w:val="VerbatimChar"/>
              </w:rPr>
              <w:t xml:space="preserve">10.10.11.1</w:t>
            </w:r>
          </w:p>
        </w:tc>
        <w:tc>
          <w:tcPr/>
          <w:p>
            <w:pPr>
              <w:pStyle w:val="Compact"/>
            </w:pPr>
            <w:r>
              <w:t xml:space="preserve">app Salle B</w:t>
            </w:r>
            <w:r>
              <w:t xml:space="preserve"> </w:t>
            </w:r>
            <w:r>
              <w:rPr>
                <w:rStyle w:val="VerbatimChar"/>
              </w:rPr>
              <w:t xml:space="preserve">10.10.11.11</w:t>
            </w:r>
            <w:r>
              <w:t xml:space="preserve">, GPU Salle B</w:t>
            </w:r>
            <w:r>
              <w:t xml:space="preserve"> </w:t>
            </w:r>
            <w:r>
              <w:rPr>
                <w:rStyle w:val="VerbatimChar"/>
              </w:rPr>
              <w:t xml:space="preserve">10.10.11.12</w:t>
            </w:r>
          </w:p>
        </w:tc>
      </w:tr>
      <w:tr>
        <w:tc>
          <w:tcPr/>
          <w:p>
            <w:pPr>
              <w:pStyle w:val="Compact"/>
            </w:pPr>
            <w:r>
              <w:t xml:space="preserve">Administration</w:t>
            </w:r>
          </w:p>
        </w:tc>
        <w:tc>
          <w:tcPr/>
          <w:p>
            <w:pPr>
              <w:pStyle w:val="Compact"/>
            </w:pPr>
            <w:r>
              <w:rPr>
                <w:rStyle w:val="VerbatimChar"/>
              </w:rPr>
              <w:t xml:space="preserve">10.10.20.0/24</w:t>
            </w:r>
          </w:p>
        </w:tc>
        <w:tc>
          <w:tcPr/>
          <w:p>
            <w:pPr>
              <w:pStyle w:val="Compact"/>
            </w:pPr>
            <w:r>
              <w:rPr>
                <w:rStyle w:val="VerbatimChar"/>
              </w:rPr>
              <w:t xml:space="preserve">10.10.20.1</w:t>
            </w:r>
          </w:p>
        </w:tc>
        <w:tc>
          <w:tcPr/>
          <w:p>
            <w:pPr>
              <w:pStyle w:val="Compact"/>
            </w:pPr>
            <w:r>
              <w:t xml:space="preserve">bastion</w:t>
            </w:r>
            <w:r>
              <w:t xml:space="preserve"> </w:t>
            </w:r>
            <w:r>
              <w:rPr>
                <w:rStyle w:val="VerbatimChar"/>
              </w:rPr>
              <w:t xml:space="preserve">10.10.20.5</w:t>
            </w:r>
            <w:r>
              <w:t xml:space="preserve">, IPMI app Salle A</w:t>
            </w:r>
            <w:r>
              <w:t xml:space="preserve"> </w:t>
            </w:r>
            <w:r>
              <w:rPr>
                <w:rStyle w:val="VerbatimChar"/>
              </w:rPr>
              <w:t xml:space="preserve">10.10.20.11</w:t>
            </w:r>
            <w:r>
              <w:t xml:space="preserve">, IPMI app Salle B</w:t>
            </w:r>
            <w:r>
              <w:t xml:space="preserve"> </w:t>
            </w:r>
            <w:r>
              <w:rPr>
                <w:rStyle w:val="VerbatimChar"/>
              </w:rPr>
              <w:t xml:space="preserve">10.10.20.21</w:t>
            </w:r>
          </w:p>
        </w:tc>
      </w:tr>
      <w:tr>
        <w:tc>
          <w:tcPr/>
          <w:p>
            <w:pPr>
              <w:pStyle w:val="Compact"/>
            </w:pPr>
            <w:r>
              <w:t xml:space="preserve">Stockage/réplication</w:t>
            </w:r>
          </w:p>
        </w:tc>
        <w:tc>
          <w:tcPr/>
          <w:p>
            <w:pPr>
              <w:pStyle w:val="Compact"/>
            </w:pPr>
            <w:r>
              <w:rPr>
                <w:rStyle w:val="VerbatimChar"/>
              </w:rPr>
              <w:t xml:space="preserve">10.10.30.0/24</w:t>
            </w:r>
          </w:p>
        </w:tc>
        <w:tc>
          <w:tcPr/>
          <w:p>
            <w:pPr>
              <w:pStyle w:val="Compact"/>
            </w:pPr>
            <w:r>
              <w:rPr>
                <w:rStyle w:val="VerbatimChar"/>
              </w:rPr>
              <w:t xml:space="preserve">10.10.30.1</w:t>
            </w:r>
          </w:p>
        </w:tc>
        <w:tc>
          <w:tcPr/>
          <w:p>
            <w:pPr>
              <w:pStyle w:val="Compact"/>
            </w:pPr>
            <w:r>
              <w:t xml:space="preserve">réplication Salle A</w:t>
            </w:r>
            <w:r>
              <w:t xml:space="preserve"> </w:t>
            </w:r>
            <w:r>
              <w:rPr>
                <w:rStyle w:val="VerbatimChar"/>
              </w:rPr>
              <w:t xml:space="preserve">10.10.30.11</w:t>
            </w:r>
            <w:r>
              <w:t xml:space="preserve">, réplication Salle B</w:t>
            </w:r>
            <w:r>
              <w:t xml:space="preserve"> </w:t>
            </w:r>
            <w:r>
              <w:rPr>
                <w:rStyle w:val="VerbatimChar"/>
              </w:rPr>
              <w:t xml:space="preserve">10.10.30.21</w:t>
            </w:r>
          </w:p>
        </w:tc>
      </w:tr>
    </w:tbl>
    <w:p>
      <w:pPr>
        <w:pStyle w:val="BodyText"/>
      </w:pPr>
      <w:r>
        <w:rPr>
          <w:rStyle w:val="VerbatimChar"/>
        </w:rPr>
        <w:t xml:space="preserve">[À RENSEIGNER avec la DSI du Client : plan d'adressage réel, masques, passerelles, VIP.]</w:t>
      </w:r>
    </w:p>
    <w:bookmarkEnd w:id="78"/>
    <w:bookmarkStart w:id="79" w:name="X77e2d06c5d74a4f0cc4a18280b3f3e710666af2"/>
    <w:p>
      <w:pPr>
        <w:pStyle w:val="Heading3"/>
      </w:pPr>
      <w:r>
        <w:t xml:space="preserve">8.3 Routage</w:t>
      </w:r>
    </w:p>
    <w:p>
      <w:pPr>
        <w:pStyle w:val="Compact"/>
        <w:numPr>
          <w:ilvl w:val="0"/>
          <w:numId w:val="1017"/>
        </w:numPr>
      </w:pPr>
      <w:r>
        <w:t xml:space="preserve">Le routage inter-VLAN est assuré par le pare-feu / routeur du Client, avec</w:t>
      </w:r>
      <w:r>
        <w:t xml:space="preserve"> </w:t>
      </w:r>
      <w:r>
        <w:rPr>
          <w:b/>
          <w:bCs/>
        </w:rPr>
        <w:t xml:space="preserve">filtrage explicite</w:t>
      </w:r>
      <w:r>
        <w:t xml:space="preserve"> </w:t>
      </w:r>
      <w:r>
        <w:t xml:space="preserve">(aucun</w:t>
      </w:r>
      <w:r>
        <w:t xml:space="preserve"> </w:t>
      </w:r>
      <w:r>
        <w:rPr>
          <w:i/>
          <w:iCs/>
        </w:rPr>
        <w:t xml:space="preserve">any-any</w:t>
      </w:r>
      <w:r>
        <w:t xml:space="preserve">).</w:t>
      </w:r>
    </w:p>
    <w:p>
      <w:pPr>
        <w:pStyle w:val="Compact"/>
        <w:numPr>
          <w:ilvl w:val="0"/>
          <w:numId w:val="1017"/>
        </w:numPr>
      </w:pPr>
      <w:r>
        <w:t xml:space="preserve">La</w:t>
      </w:r>
      <w:r>
        <w:t xml:space="preserve"> </w:t>
      </w:r>
      <w:r>
        <w:rPr>
          <w:b/>
          <w:bCs/>
        </w:rPr>
        <w:t xml:space="preserve">VIP applicative</w:t>
      </w:r>
      <w:r>
        <w:t xml:space="preserve"> </w:t>
      </w:r>
      <w:r>
        <w:t xml:space="preserve">(adresse virtuelle de service) est portée soit par un équilibreur/pare-feu, soit par un mécanisme de VIP inter-salles, permettant la bascule Salle A → Salle B (voir §13).</w:t>
      </w:r>
    </w:p>
    <w:p>
      <w:pPr>
        <w:pStyle w:val="Compact"/>
        <w:numPr>
          <w:ilvl w:val="0"/>
          <w:numId w:val="1017"/>
        </w:numPr>
      </w:pPr>
      <w:r>
        <w:t xml:space="preserve">La résolution DNS interne pointe le nom de service (ex.</w:t>
      </w:r>
      <w:r>
        <w:t xml:space="preserve"> </w:t>
      </w:r>
      <w:r>
        <w:rPr>
          <w:rStyle w:val="VerbatimChar"/>
        </w:rPr>
        <w:t xml:space="preserve">transcribia.interne.local</w:t>
      </w:r>
      <w:r>
        <w:t xml:space="preserve"> </w:t>
      </w:r>
      <w:r>
        <w:rPr>
          <w:rStyle w:val="VerbatimChar"/>
        </w:rPr>
        <w:t xml:space="preserve">[À RENSEIGNER]</w:t>
      </w:r>
      <w:r>
        <w:t xml:space="preserve">) vers la VIP active.</w:t>
      </w:r>
    </w:p>
    <w:bookmarkEnd w:id="79"/>
    <w:bookmarkStart w:id="80" w:name="X3360e84ec30c1d83be28937ed02fde6cf67fa55"/>
    <w:p>
      <w:pPr>
        <w:pStyle w:val="Heading3"/>
      </w:pPr>
      <w:r>
        <w:t xml:space="preserve">8.4 Pare-feu (principes)</w:t>
      </w:r>
    </w:p>
    <w:p>
      <w:pPr>
        <w:pStyle w:val="Compact"/>
        <w:numPr>
          <w:ilvl w:val="0"/>
          <w:numId w:val="1018"/>
        </w:numPr>
      </w:pPr>
      <w:r>
        <w:t xml:space="preserve">Politique par défaut :</w:t>
      </w:r>
      <w:r>
        <w:t xml:space="preserve"> </w:t>
      </w:r>
      <w:r>
        <w:rPr>
          <w:b/>
          <w:bCs/>
        </w:rPr>
        <w:t xml:space="preserve">deny all</w:t>
      </w:r>
      <w:r>
        <w:t xml:space="preserve">, autorisations explicites conformes à la matrice de flux (§12).</w:t>
      </w:r>
    </w:p>
    <w:p>
      <w:pPr>
        <w:pStyle w:val="Compact"/>
        <w:numPr>
          <w:ilvl w:val="0"/>
          <w:numId w:val="1018"/>
        </w:numPr>
      </w:pPr>
      <w:r>
        <w:t xml:space="preserve">Seul le flux utilisateurs → VIP en</w:t>
      </w:r>
      <w:r>
        <w:t xml:space="preserve"> </w:t>
      </w:r>
      <w:r>
        <w:rPr>
          <w:b/>
          <w:bCs/>
        </w:rPr>
        <w:t xml:space="preserve">443/TCP</w:t>
      </w:r>
      <w:r>
        <w:t xml:space="preserve"> </w:t>
      </w:r>
      <w:r>
        <w:t xml:space="preserve">est ouvert depuis le réseau bureautique.</w:t>
      </w:r>
    </w:p>
    <w:p>
      <w:pPr>
        <w:pStyle w:val="Compact"/>
        <w:numPr>
          <w:ilvl w:val="0"/>
          <w:numId w:val="1018"/>
        </w:numPr>
      </w:pPr>
      <w:r>
        <w:t xml:space="preserve">Les flux inter-salles (réplication 5432, synchro 22) sont restreints aux adresses des serveurs concernés, sur le VLAN dédié.</w:t>
      </w:r>
    </w:p>
    <w:p>
      <w:pPr>
        <w:pStyle w:val="Compact"/>
        <w:numPr>
          <w:ilvl w:val="0"/>
          <w:numId w:val="1018"/>
        </w:numPr>
      </w:pPr>
      <w:r>
        <w:t xml:space="preserve">L'administration (SSH 22) n'est ouverte que depuis le VLAN administration / le bastion.</w:t>
      </w:r>
    </w:p>
    <w:p>
      <w:pPr>
        <w:pStyle w:val="Compact"/>
        <w:numPr>
          <w:ilvl w:val="0"/>
          <w:numId w:val="1018"/>
        </w:numPr>
      </w:pPr>
      <w:r>
        <w:t xml:space="preserve">Aucun flux Internet sortant autorisé en fonctionnement nominal (variante isolée).</w:t>
      </w:r>
    </w:p>
    <w:p>
      <w:r>
        <w:pict>
          <v:rect style="width:0;height:1.5pt" o:hralign="center" o:hrstd="t" o:hr="t"/>
        </w:pict>
      </w:r>
    </w:p>
    <w:bookmarkEnd w:id="80"/>
    <w:bookmarkEnd w:id="81"/>
    <w:bookmarkStart w:id="86" w:name="X7f5b6ae2ea8a94c816b7254ee160497b88dab1c"/>
    <w:p>
      <w:pPr>
        <w:pStyle w:val="Heading2"/>
      </w:pPr>
      <w:r>
        <w:t xml:space="preserve">9. Dimensionnement et évolutivité</w:t>
      </w:r>
    </w:p>
    <w:bookmarkStart w:id="82" w:name="X587d76ebb016a959f374b6cdee34e4b27a4aa66"/>
    <w:p>
      <w:pPr>
        <w:pStyle w:val="Heading3"/>
      </w:pPr>
      <w:r>
        <w:t xml:space="preserve">9.1 Paramètres de dimensionnement</w:t>
      </w:r>
    </w:p>
    <w:p>
      <w:pPr>
        <w:pStyle w:val="FirstParagraph"/>
      </w:pPr>
      <w:r>
        <w:t xml:space="preserve">Le dimensionnement dépend principalement de :</w:t>
      </w:r>
    </w:p>
    <w:p>
      <w:pPr>
        <w:pStyle w:val="Compact"/>
        <w:numPr>
          <w:ilvl w:val="0"/>
          <w:numId w:val="1019"/>
        </w:numPr>
      </w:pPr>
      <w:r>
        <w:t xml:space="preserve">le</w:t>
      </w:r>
      <w:r>
        <w:t xml:space="preserve"> </w:t>
      </w:r>
      <w:r>
        <w:rPr>
          <w:b/>
          <w:bCs/>
        </w:rPr>
        <w:t xml:space="preserve">volume d'audio</w:t>
      </w:r>
      <w:r>
        <w:t xml:space="preserve"> </w:t>
      </w:r>
      <w:r>
        <w:t xml:space="preserve">déposé (heures/mois) ;</w:t>
      </w:r>
    </w:p>
    <w:p>
      <w:pPr>
        <w:pStyle w:val="Compact"/>
        <w:numPr>
          <w:ilvl w:val="0"/>
          <w:numId w:val="1019"/>
        </w:numPr>
      </w:pPr>
      <w:r>
        <w:t xml:space="preserve">la</w:t>
      </w:r>
      <w:r>
        <w:t xml:space="preserve"> </w:t>
      </w:r>
      <w:r>
        <w:rPr>
          <w:b/>
          <w:bCs/>
        </w:rPr>
        <w:t xml:space="preserve">durée moyenne</w:t>
      </w:r>
      <w:r>
        <w:t xml:space="preserve"> </w:t>
      </w:r>
      <w:r>
        <w:t xml:space="preserve">des enregistrements et leur</w:t>
      </w:r>
      <w:r>
        <w:t xml:space="preserve"> </w:t>
      </w:r>
      <w:r>
        <w:rPr>
          <w:b/>
          <w:bCs/>
        </w:rPr>
        <w:t xml:space="preserve">format</w:t>
      </w:r>
      <w:r>
        <w:t xml:space="preserve"> </w:t>
      </w:r>
      <w:r>
        <w:t xml:space="preserve">;</w:t>
      </w:r>
    </w:p>
    <w:p>
      <w:pPr>
        <w:pStyle w:val="Compact"/>
        <w:numPr>
          <w:ilvl w:val="0"/>
          <w:numId w:val="1019"/>
        </w:numPr>
      </w:pPr>
      <w:r>
        <w:t xml:space="preserve">le</w:t>
      </w:r>
      <w:r>
        <w:t xml:space="preserve"> </w:t>
      </w:r>
      <w:r>
        <w:rPr>
          <w:b/>
          <w:bCs/>
        </w:rPr>
        <w:t xml:space="preserve">nombre d'utilisateurs simultanés</w:t>
      </w:r>
      <w:r>
        <w:t xml:space="preserve"> </w:t>
      </w:r>
      <w:r>
        <w:t xml:space="preserve">;</w:t>
      </w:r>
    </w:p>
    <w:p>
      <w:pPr>
        <w:pStyle w:val="Compact"/>
        <w:numPr>
          <w:ilvl w:val="0"/>
          <w:numId w:val="1019"/>
        </w:numPr>
      </w:pPr>
      <w:r>
        <w:t xml:space="preserve">le</w:t>
      </w:r>
      <w:r>
        <w:t xml:space="preserve"> </w:t>
      </w:r>
      <w:r>
        <w:rPr>
          <w:b/>
          <w:bCs/>
        </w:rPr>
        <w:t xml:space="preserve">recours aux fonctions IA</w:t>
      </w:r>
      <w:r>
        <w:t xml:space="preserve"> </w:t>
      </w:r>
      <w:r>
        <w:t xml:space="preserve">(générations LLM local, gourmandes en GPU) ;</w:t>
      </w:r>
    </w:p>
    <w:p>
      <w:pPr>
        <w:pStyle w:val="Compact"/>
        <w:numPr>
          <w:ilvl w:val="0"/>
          <w:numId w:val="1019"/>
        </w:numPr>
      </w:pPr>
      <w:r>
        <w:t xml:space="preserve">la</w:t>
      </w:r>
      <w:r>
        <w:t xml:space="preserve"> </w:t>
      </w:r>
      <w:r>
        <w:rPr>
          <w:b/>
          <w:bCs/>
        </w:rPr>
        <w:t xml:space="preserve">rétention</w:t>
      </w:r>
      <w:r>
        <w:t xml:space="preserve"> </w:t>
      </w:r>
      <w:r>
        <w:t xml:space="preserve">des données (durée de conservation paramétrée par organisation).</w:t>
      </w:r>
    </w:p>
    <w:bookmarkEnd w:id="82"/>
    <w:bookmarkStart w:id="83" w:name="X10c94a9fe3c8048be4314565f0959ee3430feaa"/>
    <w:p>
      <w:pPr>
        <w:pStyle w:val="Heading3"/>
      </w:pPr>
      <w:r>
        <w:t xml:space="preserve">9.2 Volumétrie audio (ordre de grandeur)</w:t>
      </w:r>
    </w:p>
    <w:p>
      <w:pPr>
        <w:pStyle w:val="FirstParagraph"/>
      </w:pPr>
      <w:r>
        <w:t xml:space="preserve">Un enregistrement audio compressé représente typiquement 30 à 60 Mo par heure ; non compressé (wav), plusieurs centaines de Mo par heure. La transcription JSON associée peut atteindre plusieurs Mo pour une longue séance (≈ 16 Mo bruts pour un conseil de 5 h, compressés 5 à 8× sur le réseau).</w:t>
      </w:r>
    </w:p>
    <w:p>
      <w:pPr>
        <w:pStyle w:val="BodyText"/>
      </w:pPr>
      <w:r>
        <w:rPr>
          <w:rStyle w:val="VerbatimChar"/>
        </w:rPr>
        <w:t xml:space="preserve">[À COMPLÉTER : volumétrie cible du Client — nombre de séances/mois, durée moyenne, nombre d'organisations internes, rétention souhaitée]</w:t>
      </w:r>
      <w:r>
        <w:t xml:space="preserve"> </w:t>
      </w:r>
      <w:r>
        <w:t xml:space="preserve">→ permet de calculer la capacité de stockage de production et de sauvegarde.</w:t>
      </w:r>
    </w:p>
    <w:bookmarkEnd w:id="83"/>
    <w:bookmarkStart w:id="84" w:name="Xaaa8fe7054a96536e45f0818241992e1a73efe0"/>
    <w:p>
      <w:pPr>
        <w:pStyle w:val="Heading3"/>
      </w:pPr>
      <w:r>
        <w:t xml:space="preserve">9.3 Stratégies d'évolutivité</w:t>
      </w:r>
    </w:p>
    <w:p>
      <w:pPr>
        <w:pStyle w:val="Compact"/>
        <w:numPr>
          <w:ilvl w:val="0"/>
          <w:numId w:val="1020"/>
        </w:numPr>
      </w:pPr>
      <w:r>
        <w:rPr>
          <w:b/>
          <w:bCs/>
        </w:rPr>
        <w:t xml:space="preserve">Scaling vertical :</w:t>
      </w:r>
      <w:r>
        <w:t xml:space="preserve"> </w:t>
      </w:r>
      <w:r>
        <w:t xml:space="preserve">augmentation CPU/RAM/NVMe du serveur applicatif ; augmentation VRAM/GPU du serveur de transcription.</w:t>
      </w:r>
    </w:p>
    <w:p>
      <w:pPr>
        <w:pStyle w:val="Compact"/>
        <w:numPr>
          <w:ilvl w:val="0"/>
          <w:numId w:val="1020"/>
        </w:numPr>
      </w:pPr>
      <w:r>
        <w:rPr>
          <w:b/>
          <w:bCs/>
        </w:rPr>
        <w:t xml:space="preserve">Ajout de workers :</w:t>
      </w:r>
      <w:r>
        <w:t xml:space="preserve"> </w:t>
      </w:r>
      <w:r>
        <w:t xml:space="preserve">la charge de traitement asynchrone (transcription en aval, exports, IA) se répartit sur des workers de file d'attente ; on peut augmenter le nombre de workers</w:t>
      </w:r>
      <w:r>
        <w:t xml:space="preserve"> </w:t>
      </w:r>
      <w:r>
        <w:rPr>
          <w:rStyle w:val="VerbatimChar"/>
        </w:rPr>
        <w:t xml:space="preserve">queue</w:t>
      </w:r>
      <w:r>
        <w:t xml:space="preserve">,</w:t>
      </w:r>
      <w:r>
        <w:t xml:space="preserve"> </w:t>
      </w:r>
      <w:r>
        <w:rPr>
          <w:rStyle w:val="VerbatimChar"/>
        </w:rPr>
        <w:t xml:space="preserve">queue-ai</w:t>
      </w:r>
      <w:r>
        <w:t xml:space="preserve">,</w:t>
      </w:r>
      <w:r>
        <w:t xml:space="preserve"> </w:t>
      </w:r>
      <w:r>
        <w:rPr>
          <w:rStyle w:val="VerbatimChar"/>
        </w:rPr>
        <w:t xml:space="preserve">queue-media</w:t>
      </w:r>
      <w:r>
        <w:t xml:space="preserve"> </w:t>
      </w:r>
      <w:r>
        <w:t xml:space="preserve">et ajouter un</w:t>
      </w:r>
      <w:r>
        <w:t xml:space="preserve"> </w:t>
      </w:r>
      <w:r>
        <w:rPr>
          <w:b/>
          <w:bCs/>
        </w:rPr>
        <w:t xml:space="preserve">second serveur GPU</w:t>
      </w:r>
      <w:r>
        <w:t xml:space="preserve"> </w:t>
      </w:r>
      <w:r>
        <w:t xml:space="preserve">pour paralléliser la transcription et l'inférence LLM.</w:t>
      </w:r>
    </w:p>
    <w:p>
      <w:pPr>
        <w:pStyle w:val="Compact"/>
        <w:numPr>
          <w:ilvl w:val="0"/>
          <w:numId w:val="1020"/>
        </w:numPr>
      </w:pPr>
      <w:r>
        <w:rPr>
          <w:b/>
          <w:bCs/>
        </w:rPr>
        <w:t xml:space="preserve">Séparation des rôles :</w:t>
      </w:r>
      <w:r>
        <w:t xml:space="preserve"> </w:t>
      </w:r>
      <w:r>
        <w:t xml:space="preserve">en forte charge, la base PostgreSQL et/ou le serveur GPU peuvent être déportés sur des hôtes dédiés.</w:t>
      </w:r>
    </w:p>
    <w:bookmarkEnd w:id="84"/>
    <w:bookmarkStart w:id="85" w:name="X10f5dc04961af76c43caa91cfd2da2122a2f5db"/>
    <w:p>
      <w:pPr>
        <w:pStyle w:val="Heading3"/>
      </w:pPr>
      <w:r>
        <w:t xml:space="preserve">9.4 Contraintes liées à la réplication inter-salles</w:t>
      </w:r>
    </w:p>
    <w:p>
      <w:pPr>
        <w:pStyle w:val="FirstParagraph"/>
      </w:pPr>
      <w:r>
        <w:t xml:space="preserve">La réplication PostgreSQL en flux (streaming) asynchrone et la synchronisation de stockage imposent une liaison Salle A ↔ Salle B suffisante :</w:t>
      </w:r>
    </w:p>
    <w:p>
      <w:pPr>
        <w:pStyle w:val="Compact"/>
        <w:numPr>
          <w:ilvl w:val="0"/>
          <w:numId w:val="1021"/>
        </w:numPr>
      </w:pPr>
      <w:r>
        <w:t xml:space="preserve">bande passante dimensionnée sur le débit d'écriture de production (WAL PostgreSQL + nouveaux fichiers audio) ;</w:t>
      </w:r>
    </w:p>
    <w:p>
      <w:pPr>
        <w:pStyle w:val="Compact"/>
        <w:numPr>
          <w:ilvl w:val="0"/>
          <w:numId w:val="1021"/>
        </w:numPr>
      </w:pPr>
      <w:r>
        <w:t xml:space="preserve">latence maîtrisée pour limiter le retard de réplication (</w:t>
      </w:r>
      <w:r>
        <w:rPr>
          <w:i/>
          <w:iCs/>
        </w:rPr>
        <w:t xml:space="preserve">replication lag</w:t>
      </w:r>
      <w:r>
        <w:t xml:space="preserve">) et donc le RPO effectif.</w:t>
      </w:r>
    </w:p>
    <w:p>
      <w:pPr>
        <w:pStyle w:val="FirstParagraph"/>
      </w:pPr>
      <w:r>
        <w:rPr>
          <w:rStyle w:val="VerbatimChar"/>
        </w:rPr>
        <w:t xml:space="preserve">[À RENSEIGNER avec la DSI : caractéristiques du lien inter-salles (débit, latence, redondance).]</w:t>
      </w:r>
    </w:p>
    <w:p>
      <w:r>
        <w:pict>
          <v:rect style="width:0;height:1.5pt" o:hralign="center" o:hrstd="t" o:hr="t"/>
        </w:pict>
      </w:r>
    </w:p>
    <w:bookmarkEnd w:id="85"/>
    <w:bookmarkEnd w:id="86"/>
    <w:bookmarkStart w:id="89" w:name="X5e2ae69aac9030c768b72ec5e62d481fe86dbae"/>
    <w:p>
      <w:pPr>
        <w:pStyle w:val="Heading2"/>
      </w:pPr>
      <w:r>
        <w:t xml:space="preserve">10. Plans d'adressage IP et VLAN (tableaux types)</w:t>
      </w:r>
    </w:p>
    <w:bookmarkStart w:id="87" w:name="X4cfeb3bc4e46120ac45e33dfda91788d42bb49e"/>
    <w:p>
      <w:pPr>
        <w:pStyle w:val="Heading3"/>
      </w:pPr>
      <w:r>
        <w:t xml:space="preserve">10.1 Tableau VLAN (à compléter)</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 VLAN</w:t>
            </w:r>
          </w:p>
        </w:tc>
        <w:tc>
          <w:tcPr/>
          <w:p>
            <w:pPr>
              <w:pStyle w:val="Compact"/>
            </w:pPr>
            <w:r>
              <w:t xml:space="preserve">Nom</w:t>
            </w:r>
          </w:p>
        </w:tc>
        <w:tc>
          <w:tcPr/>
          <w:p>
            <w:pPr>
              <w:pStyle w:val="Compact"/>
            </w:pPr>
            <w:r>
              <w:t xml:space="preserve">Sous-réseau</w:t>
            </w:r>
          </w:p>
        </w:tc>
        <w:tc>
          <w:tcPr/>
          <w:p>
            <w:pPr>
              <w:pStyle w:val="Compact"/>
            </w:pPr>
            <w:r>
              <w:t xml:space="preserve">Passerelle</w:t>
            </w:r>
          </w:p>
        </w:tc>
        <w:tc>
          <w:tcPr/>
          <w:p>
            <w:pPr>
              <w:pStyle w:val="Compact"/>
            </w:pPr>
            <w:r>
              <w:t xml:space="preserve">Salle(s)</w:t>
            </w:r>
          </w:p>
        </w:tc>
        <w:tc>
          <w:tcPr/>
          <w:p>
            <w:pPr>
              <w:pStyle w:val="Compact"/>
            </w:pPr>
            <w:r>
              <w:t xml:space="preserve">Description</w:t>
            </w:r>
          </w:p>
        </w:tc>
      </w:tr>
      <w:tr>
        <w:tc>
          <w:tcPr/>
          <w:p>
            <w:pPr>
              <w:pStyle w:val="Compact"/>
            </w:pPr>
            <w:r>
              <w:rPr>
                <w:rStyle w:val="VerbatimChar"/>
              </w:rPr>
              <w:t xml:space="preserve">[…]</w:t>
            </w:r>
          </w:p>
        </w:tc>
        <w:tc>
          <w:tcPr/>
          <w:p>
            <w:pPr>
              <w:pStyle w:val="Compact"/>
            </w:pPr>
            <w:r>
              <w:t xml:space="preserve">Serveurs applicatifs Salle A</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Salle A</w:t>
            </w:r>
          </w:p>
        </w:tc>
        <w:tc>
          <w:tcPr/>
          <w:p>
            <w:pPr>
              <w:pStyle w:val="Compact"/>
            </w:pPr>
            <w:r>
              <w:t xml:space="preserve">Stack app + GPU actif</w:t>
            </w:r>
          </w:p>
        </w:tc>
      </w:tr>
      <w:tr>
        <w:tc>
          <w:tcPr/>
          <w:p>
            <w:pPr>
              <w:pStyle w:val="Compact"/>
            </w:pPr>
            <w:r>
              <w:rPr>
                <w:rStyle w:val="VerbatimChar"/>
              </w:rPr>
              <w:t xml:space="preserve">[…]</w:t>
            </w:r>
          </w:p>
        </w:tc>
        <w:tc>
          <w:tcPr/>
          <w:p>
            <w:pPr>
              <w:pStyle w:val="Compact"/>
            </w:pPr>
            <w:r>
              <w:t xml:space="preserve">Serveurs applicatifs Salle B</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Salle B</w:t>
            </w:r>
          </w:p>
        </w:tc>
        <w:tc>
          <w:tcPr/>
          <w:p>
            <w:pPr>
              <w:pStyle w:val="Compact"/>
            </w:pPr>
            <w:r>
              <w:t xml:space="preserve">Stack app + GPU secours</w:t>
            </w:r>
          </w:p>
        </w:tc>
      </w:tr>
      <w:tr>
        <w:tc>
          <w:tcPr/>
          <w:p>
            <w:pPr>
              <w:pStyle w:val="Compact"/>
            </w:pPr>
            <w:r>
              <w:rPr>
                <w:rStyle w:val="VerbatimChar"/>
              </w:rPr>
              <w:t xml:space="preserve">[…]</w:t>
            </w:r>
          </w:p>
        </w:tc>
        <w:tc>
          <w:tcPr/>
          <w:p>
            <w:pPr>
              <w:pStyle w:val="Compact"/>
            </w:pPr>
            <w:r>
              <w:t xml:space="preserve">Administration</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Salle A+Salle B</w:t>
            </w:r>
          </w:p>
        </w:tc>
        <w:tc>
          <w:tcPr/>
          <w:p>
            <w:pPr>
              <w:pStyle w:val="Compact"/>
            </w:pPr>
            <w:r>
              <w:t xml:space="preserve">Hors-bande, SSH, supervision</w:t>
            </w:r>
          </w:p>
        </w:tc>
      </w:tr>
      <w:tr>
        <w:tc>
          <w:tcPr/>
          <w:p>
            <w:pPr>
              <w:pStyle w:val="Compact"/>
            </w:pPr>
            <w:r>
              <w:rPr>
                <w:rStyle w:val="VerbatimChar"/>
              </w:rPr>
              <w:t xml:space="preserve">[…]</w:t>
            </w:r>
          </w:p>
        </w:tc>
        <w:tc>
          <w:tcPr/>
          <w:p>
            <w:pPr>
              <w:pStyle w:val="Compact"/>
            </w:pPr>
            <w:r>
              <w:t xml:space="preserve">Stockage / réplication</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Salle A+Salle B</w:t>
            </w:r>
          </w:p>
        </w:tc>
        <w:tc>
          <w:tcPr/>
          <w:p>
            <w:pPr>
              <w:pStyle w:val="Compact"/>
            </w:pPr>
            <w:r>
              <w:t xml:space="preserve">Réplication BDD + synchro stockage</w:t>
            </w:r>
          </w:p>
        </w:tc>
      </w:tr>
    </w:tbl>
    <w:bookmarkEnd w:id="87"/>
    <w:bookmarkStart w:id="88" w:name="Xfc6f6b95ded0ce567b3f5941dcb59864b84d585"/>
    <w:p>
      <w:pPr>
        <w:pStyle w:val="Heading3"/>
      </w:pPr>
      <w:r>
        <w:t xml:space="preserve">10.2 Tableau d'adressage des hôtes (à compléter)</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Hôte</w:t>
            </w:r>
          </w:p>
        </w:tc>
        <w:tc>
          <w:tcPr/>
          <w:p>
            <w:pPr>
              <w:pStyle w:val="Compact"/>
            </w:pPr>
            <w:r>
              <w:t xml:space="preserve">Rôle</w:t>
            </w:r>
          </w:p>
        </w:tc>
        <w:tc>
          <w:tcPr/>
          <w:p>
            <w:pPr>
              <w:pStyle w:val="Compact"/>
            </w:pPr>
            <w:r>
              <w:t xml:space="preserve">VLAN</w:t>
            </w:r>
          </w:p>
        </w:tc>
        <w:tc>
          <w:tcPr/>
          <w:p>
            <w:pPr>
              <w:pStyle w:val="Compact"/>
            </w:pPr>
            <w:r>
              <w:t xml:space="preserve">Adresse IP</w:t>
            </w:r>
          </w:p>
        </w:tc>
        <w:tc>
          <w:tcPr/>
          <w:p>
            <w:pPr>
              <w:pStyle w:val="Compact"/>
            </w:pPr>
            <w:r>
              <w:t xml:space="preserve">Salle</w:t>
            </w:r>
          </w:p>
        </w:tc>
        <w:tc>
          <w:tcPr/>
          <w:p>
            <w:pPr>
              <w:pStyle w:val="Compact"/>
            </w:pPr>
            <w:r>
              <w:t xml:space="preserve">Baie</w:t>
            </w:r>
          </w:p>
        </w:tc>
      </w:tr>
      <w:tr>
        <w:tc>
          <w:tcPr/>
          <w:p>
            <w:pPr>
              <w:pStyle w:val="Compact"/>
            </w:pPr>
            <w:r>
              <w:rPr>
                <w:rStyle w:val="VerbatimChar"/>
              </w:rPr>
              <w:t xml:space="preserve">[…]</w:t>
            </w:r>
          </w:p>
        </w:tc>
        <w:tc>
          <w:tcPr/>
          <w:p>
            <w:pPr>
              <w:pStyle w:val="Compact"/>
            </w:pPr>
            <w:r>
              <w:t xml:space="preserve">Serveur app (actif)</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Salle A</w:t>
            </w:r>
          </w:p>
        </w:tc>
        <w:tc>
          <w:tcPr/>
          <w:p>
            <w:pPr>
              <w:pStyle w:val="Compact"/>
            </w:pPr>
            <w:r>
              <w:rPr>
                <w:rStyle w:val="VerbatimChar"/>
              </w:rPr>
              <w:t xml:space="preserve">[…]</w:t>
            </w:r>
          </w:p>
        </w:tc>
      </w:tr>
      <w:tr>
        <w:tc>
          <w:tcPr/>
          <w:p>
            <w:pPr>
              <w:pStyle w:val="Compact"/>
            </w:pPr>
            <w:r>
              <w:rPr>
                <w:rStyle w:val="VerbatimChar"/>
              </w:rPr>
              <w:t xml:space="preserve">[…]</w:t>
            </w:r>
          </w:p>
        </w:tc>
        <w:tc>
          <w:tcPr/>
          <w:p>
            <w:pPr>
              <w:pStyle w:val="Compact"/>
            </w:pPr>
            <w:r>
              <w:t xml:space="preserve">Serveur GPU (actif)</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Salle A</w:t>
            </w:r>
          </w:p>
        </w:tc>
        <w:tc>
          <w:tcPr/>
          <w:p>
            <w:pPr>
              <w:pStyle w:val="Compact"/>
            </w:pPr>
            <w:r>
              <w:rPr>
                <w:rStyle w:val="VerbatimChar"/>
              </w:rPr>
              <w:t xml:space="preserve">[…]</w:t>
            </w:r>
          </w:p>
        </w:tc>
      </w:tr>
      <w:tr>
        <w:tc>
          <w:tcPr/>
          <w:p>
            <w:pPr>
              <w:pStyle w:val="Compact"/>
            </w:pPr>
            <w:r>
              <w:rPr>
                <w:rStyle w:val="VerbatimChar"/>
              </w:rPr>
              <w:t xml:space="preserve">[…]</w:t>
            </w:r>
          </w:p>
        </w:tc>
        <w:tc>
          <w:tcPr/>
          <w:p>
            <w:pPr>
              <w:pStyle w:val="Compact"/>
            </w:pPr>
            <w:r>
              <w:t xml:space="preserve">Serveur app (secours)</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Salle B</w:t>
            </w:r>
          </w:p>
        </w:tc>
        <w:tc>
          <w:tcPr/>
          <w:p>
            <w:pPr>
              <w:pStyle w:val="Compact"/>
            </w:pPr>
            <w:r>
              <w:rPr>
                <w:rStyle w:val="VerbatimChar"/>
              </w:rPr>
              <w:t xml:space="preserve">[…]</w:t>
            </w:r>
          </w:p>
        </w:tc>
      </w:tr>
      <w:tr>
        <w:tc>
          <w:tcPr/>
          <w:p>
            <w:pPr>
              <w:pStyle w:val="Compact"/>
            </w:pPr>
            <w:r>
              <w:rPr>
                <w:rStyle w:val="VerbatimChar"/>
              </w:rPr>
              <w:t xml:space="preserve">[…]</w:t>
            </w:r>
          </w:p>
        </w:tc>
        <w:tc>
          <w:tcPr/>
          <w:p>
            <w:pPr>
              <w:pStyle w:val="Compact"/>
            </w:pPr>
            <w:r>
              <w:t xml:space="preserve">Serveur GPU (secours)</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Salle B</w:t>
            </w:r>
          </w:p>
        </w:tc>
        <w:tc>
          <w:tcPr/>
          <w:p>
            <w:pPr>
              <w:pStyle w:val="Compact"/>
            </w:pPr>
            <w:r>
              <w:rPr>
                <w:rStyle w:val="VerbatimChar"/>
              </w:rPr>
              <w:t xml:space="preserve">[…]</w:t>
            </w:r>
          </w:p>
        </w:tc>
      </w:tr>
      <w:tr>
        <w:tc>
          <w:tcPr/>
          <w:p>
            <w:pPr>
              <w:pStyle w:val="Compact"/>
            </w:pPr>
            <w:r>
              <w:rPr>
                <w:rStyle w:val="VerbatimChar"/>
              </w:rPr>
              <w:t xml:space="preserve">[…]</w:t>
            </w:r>
          </w:p>
        </w:tc>
        <w:tc>
          <w:tcPr/>
          <w:p>
            <w:pPr>
              <w:pStyle w:val="Compact"/>
            </w:pPr>
            <w:r>
              <w:t xml:space="preserve">VIP applicative</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t xml:space="preserve">(virtuelle)</w:t>
            </w:r>
          </w:p>
        </w:tc>
        <w:tc>
          <w:tcPr/>
          <w:p>
            <w:pPr>
              <w:pStyle w:val="Compact"/>
            </w:pPr>
            <w:r>
              <w:t xml:space="preserve">—</w:t>
            </w:r>
          </w:p>
        </w:tc>
      </w:tr>
      <w:tr>
        <w:tc>
          <w:tcPr/>
          <w:p>
            <w:pPr>
              <w:pStyle w:val="Compact"/>
            </w:pPr>
            <w:r>
              <w:rPr>
                <w:rStyle w:val="VerbatimChar"/>
              </w:rPr>
              <w:t xml:space="preserve">[…]</w:t>
            </w:r>
          </w:p>
        </w:tc>
        <w:tc>
          <w:tcPr/>
          <w:p>
            <w:pPr>
              <w:pStyle w:val="Compact"/>
            </w:pPr>
            <w:r>
              <w:t xml:space="preserve">Bastion d'administration</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rPr>
                <w:rStyle w:val="VerbatimChar"/>
              </w:rPr>
              <w:t xml:space="preserve">[…]</w:t>
            </w:r>
          </w:p>
        </w:tc>
      </w:tr>
    </w:tbl>
    <w:p>
      <w:pPr>
        <w:pStyle w:val="BodyText"/>
      </w:pPr>
      <w:r>
        <w:rPr>
          <w:rStyle w:val="VerbatimChar"/>
        </w:rPr>
        <w:t xml:space="preserve">[À RENSEIGNER avec la DSI du Client.]</w:t>
      </w:r>
    </w:p>
    <w:p>
      <w:r>
        <w:pict>
          <v:rect style="width:0;height:1.5pt" o:hralign="center" o:hrstd="t" o:hr="t"/>
        </w:pict>
      </w:r>
    </w:p>
    <w:bookmarkEnd w:id="88"/>
    <w:bookmarkEnd w:id="89"/>
    <w:bookmarkStart w:id="95" w:name="X4a0922f6085a41fbbda97f6c7422de956f2bc94"/>
    <w:p>
      <w:pPr>
        <w:pStyle w:val="Heading2"/>
      </w:pPr>
      <w:r>
        <w:t xml:space="preserve">11. Éléments de configuration spécifiques</w:t>
      </w:r>
    </w:p>
    <w:bookmarkStart w:id="90" w:name="Xe1d723a4cba3550873291676b2d063f86718f10"/>
    <w:p>
      <w:pPr>
        <w:pStyle w:val="Heading3"/>
      </w:pPr>
      <w:r>
        <w:t xml:space="preserve">11.1 Durcissement du système d'exploitation</w:t>
      </w:r>
    </w:p>
    <w:p>
      <w:pPr>
        <w:pStyle w:val="Compact"/>
        <w:numPr>
          <w:ilvl w:val="0"/>
          <w:numId w:val="1022"/>
        </w:numPr>
      </w:pPr>
      <w:r>
        <w:t xml:space="preserve">Accès SSH par</w:t>
      </w:r>
      <w:r>
        <w:t xml:space="preserve"> </w:t>
      </w:r>
      <w:r>
        <w:rPr>
          <w:b/>
          <w:bCs/>
        </w:rPr>
        <w:t xml:space="preserve">clé uniquement</w:t>
      </w:r>
      <w:r>
        <w:t xml:space="preserve"> </w:t>
      </w:r>
      <w:r>
        <w:t xml:space="preserve">(</w:t>
      </w:r>
      <w:r>
        <w:rPr>
          <w:rStyle w:val="VerbatimChar"/>
        </w:rPr>
        <w:t xml:space="preserve">PasswordAuthentication no</w:t>
      </w:r>
      <w:r>
        <w:t xml:space="preserve">,</w:t>
      </w:r>
      <w:r>
        <w:t xml:space="preserve"> </w:t>
      </w:r>
      <w:r>
        <w:rPr>
          <w:rStyle w:val="VerbatimChar"/>
        </w:rPr>
        <w:t xml:space="preserve">PermitRootLogin prohibit-password</w:t>
      </w:r>
      <w:r>
        <w:t xml:space="preserve">).</w:t>
      </w:r>
    </w:p>
    <w:p>
      <w:pPr>
        <w:pStyle w:val="Compact"/>
        <w:numPr>
          <w:ilvl w:val="0"/>
          <w:numId w:val="1022"/>
        </w:numPr>
      </w:pPr>
      <w:r>
        <w:t xml:space="preserve">Pare-feu hôte (nftables/ufw) : politique</w:t>
      </w:r>
      <w:r>
        <w:t xml:space="preserve"> </w:t>
      </w:r>
      <w:r>
        <w:rPr>
          <w:i/>
          <w:iCs/>
        </w:rPr>
        <w:t xml:space="preserve">deny incoming</w:t>
      </w:r>
      <w:r>
        <w:t xml:space="preserve">, ouverture explicite conforme à la matrice de flux (§12).</w:t>
      </w:r>
    </w:p>
    <w:p>
      <w:pPr>
        <w:pStyle w:val="Compact"/>
        <w:numPr>
          <w:ilvl w:val="0"/>
          <w:numId w:val="1022"/>
        </w:numPr>
      </w:pPr>
      <w:r>
        <w:rPr>
          <w:rStyle w:val="VerbatimChar"/>
        </w:rPr>
        <w:t xml:space="preserve">fail2ban</w:t>
      </w:r>
      <w:r>
        <w:t xml:space="preserve"> </w:t>
      </w:r>
      <w:r>
        <w:t xml:space="preserve">sur le service SSH.</w:t>
      </w:r>
    </w:p>
    <w:p>
      <w:pPr>
        <w:pStyle w:val="Compact"/>
        <w:numPr>
          <w:ilvl w:val="0"/>
          <w:numId w:val="1022"/>
        </w:numPr>
      </w:pPr>
      <w:r>
        <w:t xml:space="preserve">Mises à jour de sécurité maîtrisées (voir variante isolée §11.5).</w:t>
      </w:r>
    </w:p>
    <w:p>
      <w:pPr>
        <w:pStyle w:val="Compact"/>
        <w:numPr>
          <w:ilvl w:val="0"/>
          <w:numId w:val="1022"/>
        </w:numPr>
      </w:pPr>
      <w:r>
        <w:t xml:space="preserve">Comptes nominatifs,</w:t>
      </w:r>
      <w:r>
        <w:t xml:space="preserve"> </w:t>
      </w:r>
      <w:r>
        <w:rPr>
          <w:rStyle w:val="VerbatimChar"/>
        </w:rPr>
        <w:t xml:space="preserve">sudo</w:t>
      </w:r>
      <w:r>
        <w:t xml:space="preserve"> </w:t>
      </w:r>
      <w:r>
        <w:t xml:space="preserve">tracé, pas de compte partagé.</w:t>
      </w:r>
    </w:p>
    <w:p>
      <w:pPr>
        <w:pStyle w:val="Compact"/>
        <w:numPr>
          <w:ilvl w:val="0"/>
          <w:numId w:val="1022"/>
        </w:numPr>
      </w:pPr>
      <w:r>
        <w:t xml:space="preserve">Horodatage NTP synchronisé (source interne au Client).</w:t>
      </w:r>
    </w:p>
    <w:bookmarkEnd w:id="90"/>
    <w:bookmarkStart w:id="91" w:name="Xac68925d11c351668b02cbb21bc74ba1f310756"/>
    <w:p>
      <w:pPr>
        <w:pStyle w:val="Heading3"/>
      </w:pPr>
      <w:r>
        <w:t xml:space="preserve">11.2 Durcissement Docker</w:t>
      </w:r>
    </w:p>
    <w:p>
      <w:pPr>
        <w:pStyle w:val="Compact"/>
        <w:numPr>
          <w:ilvl w:val="0"/>
          <w:numId w:val="1023"/>
        </w:numPr>
      </w:pPr>
      <w:r>
        <w:rPr>
          <w:rStyle w:val="VerbatimChar"/>
        </w:rPr>
        <w:t xml:space="preserve">no-new-privileges:true</w:t>
      </w:r>
      <w:r>
        <w:t xml:space="preserve"> </w:t>
      </w:r>
      <w:r>
        <w:t xml:space="preserve">sur tous les services ;</w:t>
      </w:r>
      <w:r>
        <w:t xml:space="preserve"> </w:t>
      </w:r>
      <w:r>
        <w:rPr>
          <w:rStyle w:val="VerbatimChar"/>
        </w:rPr>
        <w:t xml:space="preserve">cap_drop: ALL</w:t>
      </w:r>
      <w:r>
        <w:t xml:space="preserve"> </w:t>
      </w:r>
      <w:r>
        <w:t xml:space="preserve">avec ajout minimal des capacités nécessaires (nginx :</w:t>
      </w:r>
      <w:r>
        <w:t xml:space="preserve"> </w:t>
      </w:r>
      <w:r>
        <w:rPr>
          <w:rStyle w:val="VerbatimChar"/>
        </w:rPr>
        <w:t xml:space="preserve">NET_BIND_SERVICE</w:t>
      </w:r>
      <w:r>
        <w:t xml:space="preserve">,</w:t>
      </w:r>
      <w:r>
        <w:t xml:space="preserve"> </w:t>
      </w:r>
      <w:r>
        <w:rPr>
          <w:rStyle w:val="VerbatimChar"/>
        </w:rPr>
        <w:t xml:space="preserve">CHOWN</w:t>
      </w:r>
      <w:r>
        <w:t xml:space="preserve">,</w:t>
      </w:r>
      <w:r>
        <w:t xml:space="preserve"> </w:t>
      </w:r>
      <w:r>
        <w:rPr>
          <w:rStyle w:val="VerbatimChar"/>
        </w:rPr>
        <w:t xml:space="preserve">SETUID</w:t>
      </w:r>
      <w:r>
        <w:t xml:space="preserve">,</w:t>
      </w:r>
      <w:r>
        <w:t xml:space="preserve"> </w:t>
      </w:r>
      <w:r>
        <w:rPr>
          <w:rStyle w:val="VerbatimChar"/>
        </w:rPr>
        <w:t xml:space="preserve">SETGID</w:t>
      </w:r>
      <w:r>
        <w:t xml:space="preserve">).</w:t>
      </w:r>
    </w:p>
    <w:p>
      <w:pPr>
        <w:pStyle w:val="Compact"/>
        <w:numPr>
          <w:ilvl w:val="0"/>
          <w:numId w:val="1023"/>
        </w:numPr>
      </w:pPr>
      <w:r>
        <w:t xml:space="preserve">Montages en lecture seule pour le code applicatif et les volumes non modifiables.</w:t>
      </w:r>
    </w:p>
    <w:p>
      <w:pPr>
        <w:pStyle w:val="Compact"/>
        <w:numPr>
          <w:ilvl w:val="0"/>
          <w:numId w:val="1023"/>
        </w:numPr>
      </w:pPr>
      <w:r>
        <w:t xml:space="preserve">Aucune publication de port au-delà de l'hôte hormis le point d'entrée (443/80 via le reverse proxy) ; PostgreSQL et Redis liés à</w:t>
      </w:r>
      <w:r>
        <w:t xml:space="preserve"> </w:t>
      </w:r>
      <w:r>
        <w:rPr>
          <w:rStyle w:val="VerbatimChar"/>
        </w:rPr>
        <w:t xml:space="preserve">127.0.0.1</w:t>
      </w:r>
      <w:r>
        <w:t xml:space="preserve"> </w:t>
      </w:r>
      <w:r>
        <w:t xml:space="preserve">uniquement.</w:t>
      </w:r>
    </w:p>
    <w:p>
      <w:pPr>
        <w:pStyle w:val="Compact"/>
        <w:numPr>
          <w:ilvl w:val="0"/>
          <w:numId w:val="1023"/>
        </w:numPr>
      </w:pPr>
      <w:r>
        <w:t xml:space="preserve">Limites de ressources (mémoire/CPU) par service.</w:t>
      </w:r>
    </w:p>
    <w:p>
      <w:pPr>
        <w:pStyle w:val="Compact"/>
        <w:numPr>
          <w:ilvl w:val="0"/>
          <w:numId w:val="1023"/>
        </w:numPr>
      </w:pPr>
      <w:r>
        <w:t xml:space="preserve">Images épinglées à des versions précises ; registre local en environnement isolé (voir §11.5).</w:t>
      </w:r>
    </w:p>
    <w:bookmarkEnd w:id="91"/>
    <w:bookmarkStart w:id="92" w:name="X151ad10dfd4046a73081176a8feb83d63ac4dc8"/>
    <w:p>
      <w:pPr>
        <w:pStyle w:val="Heading3"/>
      </w:pPr>
      <w:r>
        <w:t xml:space="preserve">11.3 TLS interne</w:t>
      </w:r>
    </w:p>
    <w:p>
      <w:pPr>
        <w:pStyle w:val="Compact"/>
        <w:numPr>
          <w:ilvl w:val="0"/>
          <w:numId w:val="1024"/>
        </w:numPr>
      </w:pPr>
      <w:r>
        <w:t xml:space="preserve">Terminaison TLS utilisateur en amont (pare-feu/LB du Client ou reverse proxy) avec certificat émis par l'</w:t>
      </w:r>
      <w:r>
        <w:rPr>
          <w:b/>
          <w:bCs/>
        </w:rPr>
        <w:t xml:space="preserve">autorité de certification interne du Client</w:t>
      </w:r>
      <w:r>
        <w:t xml:space="preserve"> </w:t>
      </w:r>
      <w:r>
        <w:rPr>
          <w:rStyle w:val="VerbatimChar"/>
        </w:rPr>
        <w:t xml:space="preserve">[À RENSEIGNER : PKI interne / procédure de délivrance]</w:t>
      </w:r>
      <w:r>
        <w:t xml:space="preserve">.</w:t>
      </w:r>
    </w:p>
    <w:p>
      <w:pPr>
        <w:pStyle w:val="Compact"/>
        <w:numPr>
          <w:ilvl w:val="0"/>
          <w:numId w:val="1024"/>
        </w:numPr>
      </w:pPr>
      <w:r>
        <w:t xml:space="preserve">TLS ≥ 1.2, suites fortes, HSTS activé, redirection 80 → 443.</w:t>
      </w:r>
    </w:p>
    <w:p>
      <w:pPr>
        <w:pStyle w:val="Compact"/>
        <w:numPr>
          <w:ilvl w:val="0"/>
          <w:numId w:val="1024"/>
        </w:numPr>
      </w:pPr>
      <w:r>
        <w:t xml:space="preserve">Réplication PostgreSQL et synchronisation de stockage : chiffrement du canal recommandé (TLS PostgreSQL / SSH) — voir §11.4.</w:t>
      </w:r>
    </w:p>
    <w:bookmarkEnd w:id="92"/>
    <w:bookmarkStart w:id="93" w:name="Xdf21371f3818623846b5340828f7140fddcef46"/>
    <w:p>
      <w:pPr>
        <w:pStyle w:val="Heading3"/>
      </w:pPr>
      <w:r>
        <w:t xml:space="preserve">11.4 Comptes de service et secrets</w:t>
      </w:r>
    </w:p>
    <w:p>
      <w:pPr>
        <w:pStyle w:val="Compact"/>
        <w:numPr>
          <w:ilvl w:val="0"/>
          <w:numId w:val="1025"/>
        </w:numPr>
      </w:pPr>
      <w:r>
        <w:t xml:space="preserve">Comptes de service dédiés et de moindre privilège pour : la réplication PostgreSQL (rôle de réplication), la synchronisation de stockage (compte SSH restreint), le serveur GPU (jeton API applicatif dédié).</w:t>
      </w:r>
    </w:p>
    <w:p>
      <w:pPr>
        <w:pStyle w:val="Compact"/>
        <w:numPr>
          <w:ilvl w:val="0"/>
          <w:numId w:val="1025"/>
        </w:numPr>
      </w:pPr>
      <w:r>
        <w:t xml:space="preserve">Secrets (mots de passe BDD/Redis, clés) stockés hors du code, dans les fichiers</w:t>
      </w:r>
      <w:r>
        <w:t xml:space="preserve"> </w:t>
      </w:r>
      <w:r>
        <w:rPr>
          <w:rStyle w:val="VerbatimChar"/>
        </w:rPr>
        <w:t xml:space="preserve">.env</w:t>
      </w:r>
      <w:r>
        <w:t xml:space="preserve"> </w:t>
      </w:r>
      <w:r>
        <w:t xml:space="preserve">protégés (droits restreints), voire un coffre</w:t>
      </w:r>
      <w:r>
        <w:t xml:space="preserve"> </w:t>
      </w:r>
      <w:r>
        <w:rPr>
          <w:rStyle w:val="VerbatimChar"/>
        </w:rPr>
        <w:t xml:space="preserve">[À COMPLÉTER : coffre de secrets Client si disponible]</w:t>
      </w:r>
      <w:r>
        <w:t xml:space="preserve">.</w:t>
      </w:r>
    </w:p>
    <w:p>
      <w:pPr>
        <w:pStyle w:val="Compact"/>
        <w:numPr>
          <w:ilvl w:val="0"/>
          <w:numId w:val="1025"/>
        </w:numPr>
      </w:pPr>
      <w:r>
        <w:t xml:space="preserve">Clés de chiffrement des sauvegardes (</w:t>
      </w:r>
      <w:r>
        <w:rPr>
          <w:rStyle w:val="VerbatimChar"/>
        </w:rPr>
        <w:t xml:space="preserve">age</w:t>
      </w:r>
      <w:r>
        <w:t xml:space="preserve">) détenues et conservées par le Client, hors des serveurs sauvegardés.</w:t>
      </w:r>
    </w:p>
    <w:bookmarkEnd w:id="93"/>
    <w:bookmarkStart w:id="94" w:name="X0a02393e565cb0483e9903f5bfd1636aecea05e"/>
    <w:p>
      <w:pPr>
        <w:pStyle w:val="Heading3"/>
      </w:pPr>
      <w:r>
        <w:t xml:space="preserve">11.5 Variante isolée — mises à jour hors-ligne</w:t>
      </w:r>
    </w:p>
    <w:p>
      <w:pPr>
        <w:pStyle w:val="FirstParagraph"/>
      </w:pPr>
      <w:r>
        <w:t xml:space="preserve">En environnement isolé (sans Internet) :</w:t>
      </w:r>
    </w:p>
    <w:p>
      <w:pPr>
        <w:pStyle w:val="Compact"/>
        <w:numPr>
          <w:ilvl w:val="0"/>
          <w:numId w:val="1026"/>
        </w:numPr>
      </w:pPr>
      <w:r>
        <w:rPr>
          <w:b/>
          <w:bCs/>
        </w:rPr>
        <w:t xml:space="preserve">Images Docker et paquets système</w:t>
      </w:r>
      <w:r>
        <w:t xml:space="preserve"> </w:t>
      </w:r>
      <w:r>
        <w:t xml:space="preserve">: approvisionnement via un</w:t>
      </w:r>
      <w:r>
        <w:t xml:space="preserve"> </w:t>
      </w:r>
      <w:r>
        <w:rPr>
          <w:b/>
          <w:bCs/>
        </w:rPr>
        <w:t xml:space="preserve">dépôt local / registre interne</w:t>
      </w:r>
      <w:r>
        <w:t xml:space="preserve"> </w:t>
      </w:r>
      <w:r>
        <w:t xml:space="preserve">alimenté par un poste relais contrôlé, ou par supports maîtrisés. Aucune récupération directe depuis Internet en production.</w:t>
      </w:r>
    </w:p>
    <w:p>
      <w:pPr>
        <w:pStyle w:val="Compact"/>
        <w:numPr>
          <w:ilvl w:val="0"/>
          <w:numId w:val="1026"/>
        </w:numPr>
      </w:pPr>
      <w:r>
        <w:rPr>
          <w:b/>
          <w:bCs/>
        </w:rPr>
        <w:t xml:space="preserve">Signatures antivirus ClamAV (freshclam)</w:t>
      </w:r>
      <w:r>
        <w:t xml:space="preserve"> </w:t>
      </w:r>
      <w:r>
        <w:t xml:space="preserve">: mise à jour</w:t>
      </w:r>
      <w:r>
        <w:t xml:space="preserve"> </w:t>
      </w:r>
      <w:r>
        <w:rPr>
          <w:b/>
          <w:bCs/>
        </w:rPr>
        <w:t xml:space="preserve">hors-ligne</w:t>
      </w:r>
      <w:r>
        <w:t xml:space="preserve"> </w:t>
      </w:r>
      <w:r>
        <w:t xml:space="preserve">— récupération des bases sur un poste connecté, contrôle d'intégrité, transfert vers le serveur —</w:t>
      </w:r>
      <w:r>
        <w:t xml:space="preserve"> </w:t>
      </w:r>
      <w:r>
        <w:rPr>
          <w:rStyle w:val="VerbatimChar"/>
        </w:rPr>
        <w:t xml:space="preserve">[procédure à définir avec la DSI]</w:t>
      </w:r>
      <w:r>
        <w:t xml:space="preserve"> </w:t>
      </w:r>
      <w:r>
        <w:t xml:space="preserve">(voir dossier d'exploitation, fiche EXPL-13).</w:t>
      </w:r>
    </w:p>
    <w:p>
      <w:pPr>
        <w:pStyle w:val="Compact"/>
        <w:numPr>
          <w:ilvl w:val="0"/>
          <w:numId w:val="1026"/>
        </w:numPr>
      </w:pPr>
      <w:r>
        <w:rPr>
          <w:b/>
          <w:bCs/>
        </w:rPr>
        <w:t xml:space="preserve">Modèles LLM (poids open-weights Qwen 3.6 / Mistral servis par vLLM) et de transcription</w:t>
      </w:r>
      <w:r>
        <w:t xml:space="preserve"> </w:t>
      </w:r>
      <w:r>
        <w:t xml:space="preserve">: chargés une fois lors de l'implantation ; mises à jour par cycle maîtrisé.</w:t>
      </w:r>
    </w:p>
    <w:p>
      <w:r>
        <w:pict>
          <v:rect style="width:0;height:1.5pt" o:hralign="center" o:hrstd="t" o:hr="t"/>
        </w:pict>
      </w:r>
    </w:p>
    <w:bookmarkEnd w:id="94"/>
    <w:bookmarkEnd w:id="95"/>
    <w:bookmarkStart w:id="101" w:name="X133c33c11e206e16c3d6fbc74b773656070b317"/>
    <w:p>
      <w:pPr>
        <w:pStyle w:val="Heading2"/>
      </w:pPr>
      <w:r>
        <w:t xml:space="preserve">12. Matrices de flux jusqu'aux ports TCP/UDP</w:t>
      </w:r>
    </w:p>
    <w:p>
      <w:pPr>
        <w:pStyle w:val="BlockText"/>
      </w:pPr>
      <w:r>
        <w:rPr>
          <w:b/>
          <w:bCs/>
        </w:rPr>
        <w:t xml:space="preserve">Matrice à reporter dans le template du Client s'il en fournit un.</w:t>
      </w:r>
      <w:r>
        <w:t xml:space="preserve"> </w:t>
      </w:r>
      <w:r>
        <w:t xml:space="preserve">Elle décrit l'ensemble des flux de la solution. En</w:t>
      </w:r>
      <w:r>
        <w:t xml:space="preserve"> </w:t>
      </w:r>
      <w:r>
        <w:rPr>
          <w:b/>
          <w:bCs/>
        </w:rPr>
        <w:t xml:space="preserve">variante isolée</w:t>
      </w:r>
      <w:r>
        <w:t xml:space="preserve">, aucun flux Internet sortant n'est requis en fonctionnement nominal.</w:t>
      </w:r>
    </w:p>
    <w:bookmarkStart w:id="96" w:name="X807c2da8f4aa150b03c40b830cee190f5d64bf2"/>
    <w:p>
      <w:pPr>
        <w:pStyle w:val="Heading3"/>
      </w:pPr>
      <w:r>
        <w:t xml:space="preserve">12.1 Flux applicatifs internes (au sein d'un site)</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w:t>
            </w:r>
          </w:p>
        </w:tc>
        <w:tc>
          <w:tcPr/>
          <w:p>
            <w:pPr>
              <w:pStyle w:val="Compact"/>
            </w:pPr>
            <w:r>
              <w:t xml:space="preserve">Source</w:t>
            </w:r>
          </w:p>
        </w:tc>
        <w:tc>
          <w:tcPr/>
          <w:p>
            <w:pPr>
              <w:pStyle w:val="Compact"/>
            </w:pPr>
            <w:r>
              <w:t xml:space="preserve">Destination</w:t>
            </w:r>
          </w:p>
        </w:tc>
        <w:tc>
          <w:tcPr/>
          <w:p>
            <w:pPr>
              <w:pStyle w:val="Compact"/>
            </w:pPr>
            <w:r>
              <w:t xml:space="preserve">Protocole</w:t>
            </w:r>
          </w:p>
        </w:tc>
        <w:tc>
          <w:tcPr/>
          <w:p>
            <w:pPr>
              <w:pStyle w:val="Compact"/>
            </w:pPr>
            <w:r>
              <w:t xml:space="preserve">Port</w:t>
            </w:r>
          </w:p>
        </w:tc>
        <w:tc>
          <w:tcPr/>
          <w:p>
            <w:pPr>
              <w:pStyle w:val="Compact"/>
            </w:pPr>
            <w:r>
              <w:t xml:space="preserve">Sens</w:t>
            </w:r>
          </w:p>
        </w:tc>
        <w:tc>
          <w:tcPr/>
          <w:p>
            <w:pPr>
              <w:pStyle w:val="Compact"/>
            </w:pPr>
            <w:r>
              <w:t xml:space="preserve">Chiffrement</w:t>
            </w:r>
          </w:p>
        </w:tc>
        <w:tc>
          <w:tcPr/>
          <w:p>
            <w:pPr>
              <w:pStyle w:val="Compact"/>
            </w:pPr>
            <w:r>
              <w:t xml:space="preserve">Justification</w:t>
            </w:r>
          </w:p>
        </w:tc>
      </w:tr>
      <w:tr>
        <w:tc>
          <w:tcPr/>
          <w:p>
            <w:pPr>
              <w:pStyle w:val="Compact"/>
            </w:pPr>
            <w:r>
              <w:t xml:space="preserve">F01</w:t>
            </w:r>
          </w:p>
        </w:tc>
        <w:tc>
          <w:tcPr/>
          <w:p>
            <w:pPr>
              <w:pStyle w:val="Compact"/>
            </w:pPr>
            <w:r>
              <w:t xml:space="preserve">Postes utilisateurs</w:t>
            </w:r>
          </w:p>
        </w:tc>
        <w:tc>
          <w:tcPr/>
          <w:p>
            <w:pPr>
              <w:pStyle w:val="Compact"/>
            </w:pPr>
            <w:r>
              <w:t xml:space="preserve">VIP applicative (nginx)</w:t>
            </w:r>
          </w:p>
        </w:tc>
        <w:tc>
          <w:tcPr/>
          <w:p>
            <w:pPr>
              <w:pStyle w:val="Compact"/>
            </w:pPr>
            <w:r>
              <w:t xml:space="preserve">TCP</w:t>
            </w:r>
          </w:p>
        </w:tc>
        <w:tc>
          <w:tcPr/>
          <w:p>
            <w:pPr>
              <w:pStyle w:val="Compact"/>
            </w:pPr>
            <w:r>
              <w:t xml:space="preserve">443</w:t>
            </w:r>
          </w:p>
        </w:tc>
        <w:tc>
          <w:tcPr/>
          <w:p>
            <w:pPr>
              <w:pStyle w:val="Compact"/>
            </w:pPr>
            <w:r>
              <w:t xml:space="preserve">Entrant</w:t>
            </w:r>
          </w:p>
        </w:tc>
        <w:tc>
          <w:tcPr/>
          <w:p>
            <w:pPr>
              <w:pStyle w:val="Compact"/>
            </w:pPr>
            <w:r>
              <w:t xml:space="preserve">TLS ≥ 1.2</w:t>
            </w:r>
          </w:p>
        </w:tc>
        <w:tc>
          <w:tcPr/>
          <w:p>
            <w:pPr>
              <w:pStyle w:val="Compact"/>
            </w:pPr>
            <w:r>
              <w:t xml:space="preserve">Accès HTTPS à l'application</w:t>
            </w:r>
          </w:p>
        </w:tc>
      </w:tr>
      <w:tr>
        <w:tc>
          <w:tcPr/>
          <w:p>
            <w:pPr>
              <w:pStyle w:val="Compact"/>
            </w:pPr>
            <w:r>
              <w:t xml:space="preserve">F02</w:t>
            </w:r>
          </w:p>
        </w:tc>
        <w:tc>
          <w:tcPr/>
          <w:p>
            <w:pPr>
              <w:pStyle w:val="Compact"/>
            </w:pPr>
            <w:r>
              <w:t xml:space="preserve">Postes utilisateurs</w:t>
            </w:r>
          </w:p>
        </w:tc>
        <w:tc>
          <w:tcPr/>
          <w:p>
            <w:pPr>
              <w:pStyle w:val="Compact"/>
            </w:pPr>
            <w:r>
              <w:t xml:space="preserve">VIP applicative (nginx)</w:t>
            </w:r>
          </w:p>
        </w:tc>
        <w:tc>
          <w:tcPr/>
          <w:p>
            <w:pPr>
              <w:pStyle w:val="Compact"/>
            </w:pPr>
            <w:r>
              <w:t xml:space="preserve">TCP</w:t>
            </w:r>
          </w:p>
        </w:tc>
        <w:tc>
          <w:tcPr/>
          <w:p>
            <w:pPr>
              <w:pStyle w:val="Compact"/>
            </w:pPr>
            <w:r>
              <w:t xml:space="preserve">80</w:t>
            </w:r>
          </w:p>
        </w:tc>
        <w:tc>
          <w:tcPr/>
          <w:p>
            <w:pPr>
              <w:pStyle w:val="Compact"/>
            </w:pPr>
            <w:r>
              <w:t xml:space="preserve">Entrant</w:t>
            </w:r>
          </w:p>
        </w:tc>
        <w:tc>
          <w:tcPr/>
          <w:p>
            <w:pPr>
              <w:pStyle w:val="Compact"/>
            </w:pPr>
            <w:r>
              <w:t xml:space="preserve">Redirigé → 443</w:t>
            </w:r>
          </w:p>
        </w:tc>
        <w:tc>
          <w:tcPr/>
          <w:p>
            <w:pPr>
              <w:pStyle w:val="Compact"/>
            </w:pPr>
            <w:r>
              <w:t xml:space="preserve">Redirection HTTP vers HTTPS</w:t>
            </w:r>
          </w:p>
        </w:tc>
      </w:tr>
      <w:tr>
        <w:tc>
          <w:tcPr/>
          <w:p>
            <w:pPr>
              <w:pStyle w:val="Compact"/>
            </w:pPr>
            <w:r>
              <w:t xml:space="preserve">F03</w:t>
            </w:r>
          </w:p>
        </w:tc>
        <w:tc>
          <w:tcPr/>
          <w:p>
            <w:pPr>
              <w:pStyle w:val="Compact"/>
            </w:pPr>
            <w:r>
              <w:t xml:space="preserve">nginx</w:t>
            </w:r>
          </w:p>
        </w:tc>
        <w:tc>
          <w:tcPr/>
          <w:p>
            <w:pPr>
              <w:pStyle w:val="Compact"/>
            </w:pPr>
            <w:r>
              <w:t xml:space="preserve">app (PHP-FPM)</w:t>
            </w:r>
          </w:p>
        </w:tc>
        <w:tc>
          <w:tcPr/>
          <w:p>
            <w:pPr>
              <w:pStyle w:val="Compact"/>
            </w:pPr>
            <w:r>
              <w:t xml:space="preserve">TCP</w:t>
            </w:r>
          </w:p>
        </w:tc>
        <w:tc>
          <w:tcPr/>
          <w:p>
            <w:pPr>
              <w:pStyle w:val="Compact"/>
            </w:pPr>
            <w:r>
              <w:t xml:space="preserve">9000</w:t>
            </w:r>
          </w:p>
        </w:tc>
        <w:tc>
          <w:tcPr/>
          <w:p>
            <w:pPr>
              <w:pStyle w:val="Compact"/>
            </w:pPr>
            <w:r>
              <w:t xml:space="preserve">Interne</w:t>
            </w:r>
          </w:p>
        </w:tc>
        <w:tc>
          <w:tcPr/>
          <w:p>
            <w:pPr>
              <w:pStyle w:val="Compact"/>
            </w:pPr>
            <w:r>
              <w:t xml:space="preserve">Réseau conteneurs</w:t>
            </w:r>
          </w:p>
        </w:tc>
        <w:tc>
          <w:tcPr/>
          <w:p>
            <w:pPr>
              <w:pStyle w:val="Compact"/>
            </w:pPr>
            <w:r>
              <w:t xml:space="preserve">FastCGI — traitement API/Laravel</w:t>
            </w:r>
          </w:p>
        </w:tc>
      </w:tr>
      <w:tr>
        <w:tc>
          <w:tcPr/>
          <w:p>
            <w:pPr>
              <w:pStyle w:val="Compact"/>
            </w:pPr>
            <w:r>
              <w:t xml:space="preserve">F04</w:t>
            </w:r>
          </w:p>
        </w:tc>
        <w:tc>
          <w:tcPr/>
          <w:p>
            <w:pPr>
              <w:pStyle w:val="Compact"/>
            </w:pPr>
            <w:r>
              <w:t xml:space="preserve">nginx</w:t>
            </w:r>
          </w:p>
        </w:tc>
        <w:tc>
          <w:tcPr/>
          <w:p>
            <w:pPr>
              <w:pStyle w:val="Compact"/>
            </w:pPr>
            <w:r>
              <w:t xml:space="preserve">frontend</w:t>
            </w:r>
          </w:p>
        </w:tc>
        <w:tc>
          <w:tcPr/>
          <w:p>
            <w:pPr>
              <w:pStyle w:val="Compact"/>
            </w:pPr>
            <w:r>
              <w:t xml:space="preserve">TCP</w:t>
            </w:r>
          </w:p>
        </w:tc>
        <w:tc>
          <w:tcPr/>
          <w:p>
            <w:pPr>
              <w:pStyle w:val="Compact"/>
            </w:pPr>
            <w:r>
              <w:t xml:space="preserve">5173</w:t>
            </w:r>
          </w:p>
        </w:tc>
        <w:tc>
          <w:tcPr/>
          <w:p>
            <w:pPr>
              <w:pStyle w:val="Compact"/>
            </w:pPr>
            <w:r>
              <w:t xml:space="preserve">Interne</w:t>
            </w:r>
          </w:p>
        </w:tc>
        <w:tc>
          <w:tcPr/>
          <w:p>
            <w:pPr>
              <w:pStyle w:val="Compact"/>
            </w:pPr>
            <w:r>
              <w:t xml:space="preserve">Réseau conteneurs</w:t>
            </w:r>
          </w:p>
        </w:tc>
        <w:tc>
          <w:tcPr/>
          <w:p>
            <w:pPr>
              <w:pStyle w:val="Compact"/>
            </w:pPr>
            <w:r>
              <w:t xml:space="preserve">Service de l'interface React (SPA)</w:t>
            </w:r>
          </w:p>
        </w:tc>
      </w:tr>
      <w:tr>
        <w:tc>
          <w:tcPr/>
          <w:p>
            <w:pPr>
              <w:pStyle w:val="Compact"/>
            </w:pPr>
            <w:r>
              <w:t xml:space="preserve">F05</w:t>
            </w:r>
          </w:p>
        </w:tc>
        <w:tc>
          <w:tcPr/>
          <w:p>
            <w:pPr>
              <w:pStyle w:val="Compact"/>
            </w:pPr>
            <w:r>
              <w:t xml:space="preserve">nginx</w:t>
            </w:r>
          </w:p>
        </w:tc>
        <w:tc>
          <w:tcPr/>
          <w:p>
            <w:pPr>
              <w:pStyle w:val="Compact"/>
            </w:pPr>
            <w:r>
              <w:t xml:space="preserve">reverb</w:t>
            </w:r>
          </w:p>
        </w:tc>
        <w:tc>
          <w:tcPr/>
          <w:p>
            <w:pPr>
              <w:pStyle w:val="Compact"/>
            </w:pPr>
            <w:r>
              <w:t xml:space="preserve">TCP</w:t>
            </w:r>
          </w:p>
        </w:tc>
        <w:tc>
          <w:tcPr/>
          <w:p>
            <w:pPr>
              <w:pStyle w:val="Compact"/>
            </w:pPr>
            <w:r>
              <w:t xml:space="preserve">8080</w:t>
            </w:r>
          </w:p>
        </w:tc>
        <w:tc>
          <w:tcPr/>
          <w:p>
            <w:pPr>
              <w:pStyle w:val="Compact"/>
            </w:pPr>
            <w:r>
              <w:t xml:space="preserve">Interne</w:t>
            </w:r>
          </w:p>
        </w:tc>
        <w:tc>
          <w:tcPr/>
          <w:p>
            <w:pPr>
              <w:pStyle w:val="Compact"/>
            </w:pPr>
            <w:r>
              <w:t xml:space="preserve">Réseau conteneurs</w:t>
            </w:r>
          </w:p>
        </w:tc>
        <w:tc>
          <w:tcPr/>
          <w:p>
            <w:pPr>
              <w:pStyle w:val="Compact"/>
            </w:pPr>
            <w:r>
              <w:t xml:space="preserve">WebSocket temps réel (</w:t>
            </w:r>
            <w:r>
              <w:rPr>
                <w:rStyle w:val="VerbatimChar"/>
              </w:rPr>
              <w:t xml:space="preserve">/reverb/</w:t>
            </w:r>
            <w:r>
              <w:t xml:space="preserve">)</w:t>
            </w:r>
          </w:p>
        </w:tc>
      </w:tr>
      <w:tr>
        <w:tc>
          <w:tcPr/>
          <w:p>
            <w:pPr>
              <w:pStyle w:val="Compact"/>
            </w:pPr>
            <w:r>
              <w:t xml:space="preserve">F06</w:t>
            </w:r>
          </w:p>
        </w:tc>
        <w:tc>
          <w:tcPr/>
          <w:p>
            <w:pPr>
              <w:pStyle w:val="Compact"/>
            </w:pPr>
            <w:r>
              <w:t xml:space="preserve">app / queue / scheduler</w:t>
            </w:r>
          </w:p>
        </w:tc>
        <w:tc>
          <w:tcPr/>
          <w:p>
            <w:pPr>
              <w:pStyle w:val="Compact"/>
            </w:pPr>
            <w:r>
              <w:t xml:space="preserve">postgres</w:t>
            </w:r>
          </w:p>
        </w:tc>
        <w:tc>
          <w:tcPr/>
          <w:p>
            <w:pPr>
              <w:pStyle w:val="Compact"/>
            </w:pPr>
            <w:r>
              <w:t xml:space="preserve">TCP</w:t>
            </w:r>
          </w:p>
        </w:tc>
        <w:tc>
          <w:tcPr/>
          <w:p>
            <w:pPr>
              <w:pStyle w:val="Compact"/>
            </w:pPr>
            <w:r>
              <w:t xml:space="preserve">5432</w:t>
            </w:r>
          </w:p>
        </w:tc>
        <w:tc>
          <w:tcPr/>
          <w:p>
            <w:pPr>
              <w:pStyle w:val="Compact"/>
            </w:pPr>
            <w:r>
              <w:t xml:space="preserve">Interne</w:t>
            </w:r>
          </w:p>
        </w:tc>
        <w:tc>
          <w:tcPr/>
          <w:p>
            <w:pPr>
              <w:pStyle w:val="Compact"/>
            </w:pPr>
            <w:r>
              <w:t xml:space="preserve">Réseau conteneurs (127.0.0.1)</w:t>
            </w:r>
          </w:p>
        </w:tc>
        <w:tc>
          <w:tcPr/>
          <w:p>
            <w:pPr>
              <w:pStyle w:val="Compact"/>
            </w:pPr>
            <w:r>
              <w:t xml:space="preserve">Accès base de données</w:t>
            </w:r>
          </w:p>
        </w:tc>
      </w:tr>
      <w:tr>
        <w:tc>
          <w:tcPr/>
          <w:p>
            <w:pPr>
              <w:pStyle w:val="Compact"/>
            </w:pPr>
            <w:r>
              <w:t xml:space="preserve">F07</w:t>
            </w:r>
          </w:p>
        </w:tc>
        <w:tc>
          <w:tcPr/>
          <w:p>
            <w:pPr>
              <w:pStyle w:val="Compact"/>
            </w:pPr>
            <w:r>
              <w:t xml:space="preserve">app / queue / scheduler</w:t>
            </w:r>
          </w:p>
        </w:tc>
        <w:tc>
          <w:tcPr/>
          <w:p>
            <w:pPr>
              <w:pStyle w:val="Compact"/>
            </w:pPr>
            <w:r>
              <w:t xml:space="preserve">redis</w:t>
            </w:r>
          </w:p>
        </w:tc>
        <w:tc>
          <w:tcPr/>
          <w:p>
            <w:pPr>
              <w:pStyle w:val="Compact"/>
            </w:pPr>
            <w:r>
              <w:t xml:space="preserve">TCP</w:t>
            </w:r>
          </w:p>
        </w:tc>
        <w:tc>
          <w:tcPr/>
          <w:p>
            <w:pPr>
              <w:pStyle w:val="Compact"/>
            </w:pPr>
            <w:r>
              <w:t xml:space="preserve">6379</w:t>
            </w:r>
          </w:p>
        </w:tc>
        <w:tc>
          <w:tcPr/>
          <w:p>
            <w:pPr>
              <w:pStyle w:val="Compact"/>
            </w:pPr>
            <w:r>
              <w:t xml:space="preserve">Interne</w:t>
            </w:r>
          </w:p>
        </w:tc>
        <w:tc>
          <w:tcPr/>
          <w:p>
            <w:pPr>
              <w:pStyle w:val="Compact"/>
            </w:pPr>
            <w:r>
              <w:t xml:space="preserve">Réseau conteneurs (127.0.0.1)</w:t>
            </w:r>
          </w:p>
        </w:tc>
        <w:tc>
          <w:tcPr/>
          <w:p>
            <w:pPr>
              <w:pStyle w:val="Compact"/>
            </w:pPr>
            <w:r>
              <w:t xml:space="preserve">Cache, sessions, files d'attente</w:t>
            </w:r>
          </w:p>
        </w:tc>
      </w:tr>
      <w:tr>
        <w:tc>
          <w:tcPr/>
          <w:p>
            <w:pPr>
              <w:pStyle w:val="Compact"/>
            </w:pPr>
            <w:r>
              <w:t xml:space="preserve">F08</w:t>
            </w:r>
          </w:p>
        </w:tc>
        <w:tc>
          <w:tcPr/>
          <w:p>
            <w:pPr>
              <w:pStyle w:val="Compact"/>
            </w:pPr>
            <w:r>
              <w:t xml:space="preserve">app</w:t>
            </w:r>
          </w:p>
        </w:tc>
        <w:tc>
          <w:tcPr/>
          <w:p>
            <w:pPr>
              <w:pStyle w:val="Compact"/>
            </w:pPr>
            <w:r>
              <w:t xml:space="preserve">clamav</w:t>
            </w:r>
          </w:p>
        </w:tc>
        <w:tc>
          <w:tcPr/>
          <w:p>
            <w:pPr>
              <w:pStyle w:val="Compact"/>
            </w:pPr>
            <w:r>
              <w:t xml:space="preserve">TCP</w:t>
            </w:r>
          </w:p>
        </w:tc>
        <w:tc>
          <w:tcPr/>
          <w:p>
            <w:pPr>
              <w:pStyle w:val="Compact"/>
            </w:pPr>
            <w:r>
              <w:t xml:space="preserve">3310</w:t>
            </w:r>
          </w:p>
        </w:tc>
        <w:tc>
          <w:tcPr/>
          <w:p>
            <w:pPr>
              <w:pStyle w:val="Compact"/>
            </w:pPr>
            <w:r>
              <w:t xml:space="preserve">Interne</w:t>
            </w:r>
          </w:p>
        </w:tc>
        <w:tc>
          <w:tcPr/>
          <w:p>
            <w:pPr>
              <w:pStyle w:val="Compact"/>
            </w:pPr>
            <w:r>
              <w:t xml:space="preserve">Réseau conteneurs</w:t>
            </w:r>
          </w:p>
        </w:tc>
        <w:tc>
          <w:tcPr/>
          <w:p>
            <w:pPr>
              <w:pStyle w:val="Compact"/>
            </w:pPr>
            <w:r>
              <w:t xml:space="preserve">Analyse antivirus des uploads</w:t>
            </w:r>
          </w:p>
        </w:tc>
      </w:tr>
    </w:tbl>
    <w:bookmarkEnd w:id="96"/>
    <w:bookmarkStart w:id="97" w:name="Xf39a4f114f4d2eff44ecb1a6d97d797e19503dc"/>
    <w:p>
      <w:pPr>
        <w:pStyle w:val="Heading3"/>
      </w:pPr>
      <w:r>
        <w:t xml:space="preserve">12.2 Flux de transcription et IA (au sein d'un site — variante isolée)</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w:t>
            </w:r>
          </w:p>
        </w:tc>
        <w:tc>
          <w:tcPr/>
          <w:p>
            <w:pPr>
              <w:pStyle w:val="Compact"/>
            </w:pPr>
            <w:r>
              <w:t xml:space="preserve">Source</w:t>
            </w:r>
          </w:p>
        </w:tc>
        <w:tc>
          <w:tcPr/>
          <w:p>
            <w:pPr>
              <w:pStyle w:val="Compact"/>
            </w:pPr>
            <w:r>
              <w:t xml:space="preserve">Destination</w:t>
            </w:r>
          </w:p>
        </w:tc>
        <w:tc>
          <w:tcPr/>
          <w:p>
            <w:pPr>
              <w:pStyle w:val="Compact"/>
            </w:pPr>
            <w:r>
              <w:t xml:space="preserve">Protocole</w:t>
            </w:r>
          </w:p>
        </w:tc>
        <w:tc>
          <w:tcPr/>
          <w:p>
            <w:pPr>
              <w:pStyle w:val="Compact"/>
            </w:pPr>
            <w:r>
              <w:t xml:space="preserve">Port</w:t>
            </w:r>
          </w:p>
        </w:tc>
        <w:tc>
          <w:tcPr/>
          <w:p>
            <w:pPr>
              <w:pStyle w:val="Compact"/>
            </w:pPr>
            <w:r>
              <w:t xml:space="preserve">Sens</w:t>
            </w:r>
          </w:p>
        </w:tc>
        <w:tc>
          <w:tcPr/>
          <w:p>
            <w:pPr>
              <w:pStyle w:val="Compact"/>
            </w:pPr>
            <w:r>
              <w:t xml:space="preserve">Chiffrement</w:t>
            </w:r>
          </w:p>
        </w:tc>
        <w:tc>
          <w:tcPr/>
          <w:p>
            <w:pPr>
              <w:pStyle w:val="Compact"/>
            </w:pPr>
            <w:r>
              <w:t xml:space="preserve">Justification</w:t>
            </w:r>
          </w:p>
        </w:tc>
      </w:tr>
      <w:tr>
        <w:tc>
          <w:tcPr/>
          <w:p>
            <w:pPr>
              <w:pStyle w:val="Compact"/>
            </w:pPr>
            <w:r>
              <w:t xml:space="preserve">F09</w:t>
            </w:r>
          </w:p>
        </w:tc>
        <w:tc>
          <w:tcPr/>
          <w:p>
            <w:pPr>
              <w:pStyle w:val="Compact"/>
            </w:pPr>
            <w:r>
              <w:t xml:space="preserve">Serveur GPU (worker transcription)</w:t>
            </w:r>
          </w:p>
        </w:tc>
        <w:tc>
          <w:tcPr/>
          <w:p>
            <w:pPr>
              <w:pStyle w:val="Compact"/>
            </w:pPr>
            <w:r>
              <w:t xml:space="preserve">API app (VIP/nginx)</w:t>
            </w:r>
          </w:p>
        </w:tc>
        <w:tc>
          <w:tcPr/>
          <w:p>
            <w:pPr>
              <w:pStyle w:val="Compact"/>
            </w:pPr>
            <w:r>
              <w:t xml:space="preserve">TCP</w:t>
            </w:r>
          </w:p>
        </w:tc>
        <w:tc>
          <w:tcPr/>
          <w:p>
            <w:pPr>
              <w:pStyle w:val="Compact"/>
            </w:pPr>
            <w:r>
              <w:t xml:space="preserve">443</w:t>
            </w:r>
          </w:p>
        </w:tc>
        <w:tc>
          <w:tcPr/>
          <w:p>
            <w:pPr>
              <w:pStyle w:val="Compact"/>
            </w:pPr>
            <w:r>
              <w:t xml:space="preserve">Interne</w:t>
            </w:r>
          </w:p>
        </w:tc>
        <w:tc>
          <w:tcPr/>
          <w:p>
            <w:pPr>
              <w:pStyle w:val="Compact"/>
            </w:pPr>
            <w:r>
              <w:t xml:space="preserve">TLS + jeton</w:t>
            </w:r>
          </w:p>
        </w:tc>
        <w:tc>
          <w:tcPr/>
          <w:p>
            <w:pPr>
              <w:pStyle w:val="Compact"/>
            </w:pPr>
            <w:r>
              <w:t xml:space="preserve">Poll</w:t>
            </w:r>
            <w:r>
              <w:t xml:space="preserve"> </w:t>
            </w:r>
            <w:r>
              <w:rPr>
                <w:rStyle w:val="VerbatimChar"/>
              </w:rPr>
              <w:t xml:space="preserve">GET /api/files/pending</w:t>
            </w:r>
            <w:r>
              <w:t xml:space="preserve">,</w:t>
            </w:r>
            <w:r>
              <w:t xml:space="preserve"> </w:t>
            </w:r>
            <w:r>
              <w:rPr>
                <w:rStyle w:val="VerbatimChar"/>
              </w:rPr>
              <w:t xml:space="preserve">POST …/progress</w:t>
            </w:r>
            <w:r>
              <w:t xml:space="preserve">,</w:t>
            </w:r>
            <w:r>
              <w:t xml:space="preserve"> </w:t>
            </w:r>
            <w:r>
              <w:rPr>
                <w:rStyle w:val="VerbatimChar"/>
              </w:rPr>
              <w:t xml:space="preserve">POST …/complete</w:t>
            </w:r>
          </w:p>
        </w:tc>
      </w:tr>
      <w:tr>
        <w:tc>
          <w:tcPr/>
          <w:p>
            <w:pPr>
              <w:pStyle w:val="Compact"/>
            </w:pPr>
            <w:r>
              <w:t xml:space="preserve">F10</w:t>
            </w:r>
          </w:p>
        </w:tc>
        <w:tc>
          <w:tcPr/>
          <w:p>
            <w:pPr>
              <w:pStyle w:val="Compact"/>
            </w:pPr>
            <w:r>
              <w:t xml:space="preserve">app / queue-ai</w:t>
            </w:r>
          </w:p>
        </w:tc>
        <w:tc>
          <w:tcPr/>
          <w:p>
            <w:pPr>
              <w:pStyle w:val="Compact"/>
            </w:pPr>
            <w:r>
              <w:t xml:space="preserve">LLM local — serveur vLLM (Qwen 3.6 / Mistral)</w:t>
            </w:r>
          </w:p>
        </w:tc>
        <w:tc>
          <w:tcPr/>
          <w:p>
            <w:pPr>
              <w:pStyle w:val="Compact"/>
            </w:pPr>
            <w:r>
              <w:t xml:space="preserve">TCP</w:t>
            </w:r>
          </w:p>
        </w:tc>
        <w:tc>
          <w:tcPr/>
          <w:p>
            <w:pPr>
              <w:pStyle w:val="Compact"/>
            </w:pPr>
            <w:r>
              <w:rPr>
                <w:rStyle w:val="VerbatimChar"/>
              </w:rPr>
              <w:t xml:space="preserve">8000</w:t>
            </w:r>
            <w:r>
              <w:t xml:space="preserve"> </w:t>
            </w:r>
            <w:r>
              <w:t xml:space="preserve">(vLLM)</w:t>
            </w:r>
            <w:r>
              <w:t xml:space="preserve"> </w:t>
            </w:r>
            <w:r>
              <w:rPr>
                <w:rStyle w:val="VerbatimChar"/>
              </w:rPr>
              <w:t xml:space="preserve">[à confirmer]</w:t>
            </w:r>
          </w:p>
        </w:tc>
        <w:tc>
          <w:tcPr/>
          <w:p>
            <w:pPr>
              <w:pStyle w:val="Compact"/>
            </w:pPr>
            <w:r>
              <w:t xml:space="preserve">Interne</w:t>
            </w:r>
          </w:p>
        </w:tc>
        <w:tc>
          <w:tcPr/>
          <w:p>
            <w:pPr>
              <w:pStyle w:val="Compact"/>
            </w:pPr>
            <w:r>
              <w:t xml:space="preserve">Réseau interne / TLS interne</w:t>
            </w:r>
          </w:p>
        </w:tc>
        <w:tc>
          <w:tcPr/>
          <w:p>
            <w:pPr>
              <w:pStyle w:val="Compact"/>
            </w:pPr>
            <w:r>
              <w:t xml:space="preserve">Requêtes d'inférence IA (correction, résumé, PV, chapitrage) sur modèle open-weights auto-hébergé</w:t>
            </w:r>
          </w:p>
        </w:tc>
      </w:tr>
    </w:tbl>
    <w:bookmarkEnd w:id="97"/>
    <w:bookmarkStart w:id="98" w:name="X47717dece4e1c1fa2e6162e90766d7f392f9b06"/>
    <w:p>
      <w:pPr>
        <w:pStyle w:val="Heading3"/>
      </w:pPr>
      <w:r>
        <w:t xml:space="preserve">12.3 Flux inter-salles (Salle A ↔ Salle B)</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w:t>
            </w:r>
          </w:p>
        </w:tc>
        <w:tc>
          <w:tcPr/>
          <w:p>
            <w:pPr>
              <w:pStyle w:val="Compact"/>
            </w:pPr>
            <w:r>
              <w:t xml:space="preserve">Source</w:t>
            </w:r>
          </w:p>
        </w:tc>
        <w:tc>
          <w:tcPr/>
          <w:p>
            <w:pPr>
              <w:pStyle w:val="Compact"/>
            </w:pPr>
            <w:r>
              <w:t xml:space="preserve">Destination</w:t>
            </w:r>
          </w:p>
        </w:tc>
        <w:tc>
          <w:tcPr/>
          <w:p>
            <w:pPr>
              <w:pStyle w:val="Compact"/>
            </w:pPr>
            <w:r>
              <w:t xml:space="preserve">Protocole</w:t>
            </w:r>
          </w:p>
        </w:tc>
        <w:tc>
          <w:tcPr/>
          <w:p>
            <w:pPr>
              <w:pStyle w:val="Compact"/>
            </w:pPr>
            <w:r>
              <w:t xml:space="preserve">Port</w:t>
            </w:r>
          </w:p>
        </w:tc>
        <w:tc>
          <w:tcPr/>
          <w:p>
            <w:pPr>
              <w:pStyle w:val="Compact"/>
            </w:pPr>
            <w:r>
              <w:t xml:space="preserve">Sens</w:t>
            </w:r>
          </w:p>
        </w:tc>
        <w:tc>
          <w:tcPr/>
          <w:p>
            <w:pPr>
              <w:pStyle w:val="Compact"/>
            </w:pPr>
            <w:r>
              <w:t xml:space="preserve">Chiffrement</w:t>
            </w:r>
          </w:p>
        </w:tc>
        <w:tc>
          <w:tcPr/>
          <w:p>
            <w:pPr>
              <w:pStyle w:val="Compact"/>
            </w:pPr>
            <w:r>
              <w:t xml:space="preserve">Justification</w:t>
            </w:r>
          </w:p>
        </w:tc>
      </w:tr>
      <w:tr>
        <w:tc>
          <w:tcPr/>
          <w:p>
            <w:pPr>
              <w:pStyle w:val="Compact"/>
            </w:pPr>
            <w:r>
              <w:t xml:space="preserve">F11</w:t>
            </w:r>
          </w:p>
        </w:tc>
        <w:tc>
          <w:tcPr/>
          <w:p>
            <w:pPr>
              <w:pStyle w:val="Compact"/>
            </w:pPr>
            <w:r>
              <w:t xml:space="preserve">postgres Salle A (primaire)</w:t>
            </w:r>
          </w:p>
        </w:tc>
        <w:tc>
          <w:tcPr/>
          <w:p>
            <w:pPr>
              <w:pStyle w:val="Compact"/>
            </w:pPr>
            <w:r>
              <w:t xml:space="preserve">postgres Salle B (standby)</w:t>
            </w:r>
          </w:p>
        </w:tc>
        <w:tc>
          <w:tcPr/>
          <w:p>
            <w:pPr>
              <w:pStyle w:val="Compact"/>
            </w:pPr>
            <w:r>
              <w:t xml:space="preserve">TCP</w:t>
            </w:r>
          </w:p>
        </w:tc>
        <w:tc>
          <w:tcPr/>
          <w:p>
            <w:pPr>
              <w:pStyle w:val="Compact"/>
            </w:pPr>
            <w:r>
              <w:t xml:space="preserve">5432</w:t>
            </w:r>
          </w:p>
        </w:tc>
        <w:tc>
          <w:tcPr/>
          <w:p>
            <w:pPr>
              <w:pStyle w:val="Compact"/>
            </w:pPr>
            <w:r>
              <w:t xml:space="preserve">Salle A → Salle B</w:t>
            </w:r>
          </w:p>
        </w:tc>
        <w:tc>
          <w:tcPr/>
          <w:p>
            <w:pPr>
              <w:pStyle w:val="Compact"/>
            </w:pPr>
            <w:r>
              <w:t xml:space="preserve">TLS PostgreSQL recommandé</w:t>
            </w:r>
          </w:p>
        </w:tc>
        <w:tc>
          <w:tcPr/>
          <w:p>
            <w:pPr>
              <w:pStyle w:val="Compact"/>
            </w:pPr>
            <w:r>
              <w:t xml:space="preserve">Réplication en flux (streaming) asynchrone</w:t>
            </w:r>
          </w:p>
        </w:tc>
      </w:tr>
      <w:tr>
        <w:tc>
          <w:tcPr/>
          <w:p>
            <w:pPr>
              <w:pStyle w:val="Compact"/>
            </w:pPr>
            <w:r>
              <w:t xml:space="preserve">F12</w:t>
            </w:r>
          </w:p>
        </w:tc>
        <w:tc>
          <w:tcPr/>
          <w:p>
            <w:pPr>
              <w:pStyle w:val="Compact"/>
            </w:pPr>
            <w:r>
              <w:t xml:space="preserve">Serveur app Salle A</w:t>
            </w:r>
          </w:p>
        </w:tc>
        <w:tc>
          <w:tcPr/>
          <w:p>
            <w:pPr>
              <w:pStyle w:val="Compact"/>
            </w:pPr>
            <w:r>
              <w:t xml:space="preserve">Serveur app Salle B</w:t>
            </w:r>
          </w:p>
        </w:tc>
        <w:tc>
          <w:tcPr/>
          <w:p>
            <w:pPr>
              <w:pStyle w:val="Compact"/>
            </w:pPr>
            <w:r>
              <w:t xml:space="preserve">TCP</w:t>
            </w:r>
          </w:p>
        </w:tc>
        <w:tc>
          <w:tcPr/>
          <w:p>
            <w:pPr>
              <w:pStyle w:val="Compact"/>
            </w:pPr>
            <w:r>
              <w:t xml:space="preserve">22</w:t>
            </w:r>
          </w:p>
        </w:tc>
        <w:tc>
          <w:tcPr/>
          <w:p>
            <w:pPr>
              <w:pStyle w:val="Compact"/>
            </w:pPr>
            <w:r>
              <w:t xml:space="preserve">Salle A → Salle B</w:t>
            </w:r>
          </w:p>
        </w:tc>
        <w:tc>
          <w:tcPr/>
          <w:p>
            <w:pPr>
              <w:pStyle w:val="Compact"/>
            </w:pPr>
            <w:r>
              <w:t xml:space="preserve">SSH</w:t>
            </w:r>
          </w:p>
        </w:tc>
        <w:tc>
          <w:tcPr/>
          <w:p>
            <w:pPr>
              <w:pStyle w:val="Compact"/>
            </w:pPr>
            <w:r>
              <w:t xml:space="preserve">Synchronisation des volumes de stockage (rsync sur SSH)</w:t>
            </w:r>
          </w:p>
        </w:tc>
      </w:tr>
    </w:tbl>
    <w:bookmarkEnd w:id="98"/>
    <w:bookmarkStart w:id="99" w:name="X56d9a997fe5c771385e80f7b515033c5a513e42"/>
    <w:p>
      <w:pPr>
        <w:pStyle w:val="Heading3"/>
      </w:pPr>
      <w:r>
        <w:t xml:space="preserve">12.4 Flux d'administration et de supervision</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w:t>
            </w:r>
          </w:p>
        </w:tc>
        <w:tc>
          <w:tcPr/>
          <w:p>
            <w:pPr>
              <w:pStyle w:val="Compact"/>
            </w:pPr>
            <w:r>
              <w:t xml:space="preserve">Source</w:t>
            </w:r>
          </w:p>
        </w:tc>
        <w:tc>
          <w:tcPr/>
          <w:p>
            <w:pPr>
              <w:pStyle w:val="Compact"/>
            </w:pPr>
            <w:r>
              <w:t xml:space="preserve">Destination</w:t>
            </w:r>
          </w:p>
        </w:tc>
        <w:tc>
          <w:tcPr/>
          <w:p>
            <w:pPr>
              <w:pStyle w:val="Compact"/>
            </w:pPr>
            <w:r>
              <w:t xml:space="preserve">Protocole</w:t>
            </w:r>
          </w:p>
        </w:tc>
        <w:tc>
          <w:tcPr/>
          <w:p>
            <w:pPr>
              <w:pStyle w:val="Compact"/>
            </w:pPr>
            <w:r>
              <w:t xml:space="preserve">Port</w:t>
            </w:r>
          </w:p>
        </w:tc>
        <w:tc>
          <w:tcPr/>
          <w:p>
            <w:pPr>
              <w:pStyle w:val="Compact"/>
            </w:pPr>
            <w:r>
              <w:t xml:space="preserve">Sens</w:t>
            </w:r>
          </w:p>
        </w:tc>
        <w:tc>
          <w:tcPr/>
          <w:p>
            <w:pPr>
              <w:pStyle w:val="Compact"/>
            </w:pPr>
            <w:r>
              <w:t xml:space="preserve">Chiffrement</w:t>
            </w:r>
          </w:p>
        </w:tc>
        <w:tc>
          <w:tcPr/>
          <w:p>
            <w:pPr>
              <w:pStyle w:val="Compact"/>
            </w:pPr>
            <w:r>
              <w:t xml:space="preserve">Justification</w:t>
            </w:r>
          </w:p>
        </w:tc>
      </w:tr>
      <w:tr>
        <w:tc>
          <w:tcPr/>
          <w:p>
            <w:pPr>
              <w:pStyle w:val="Compact"/>
            </w:pPr>
            <w:r>
              <w:t xml:space="preserve">F13</w:t>
            </w:r>
          </w:p>
        </w:tc>
        <w:tc>
          <w:tcPr/>
          <w:p>
            <w:pPr>
              <w:pStyle w:val="Compact"/>
            </w:pPr>
            <w:r>
              <w:t xml:space="preserve">Bastion / VLAN admin</w:t>
            </w:r>
          </w:p>
        </w:tc>
        <w:tc>
          <w:tcPr/>
          <w:p>
            <w:pPr>
              <w:pStyle w:val="Compact"/>
            </w:pPr>
            <w:r>
              <w:t xml:space="preserve">Serveurs (Salle A + Salle B)</w:t>
            </w:r>
          </w:p>
        </w:tc>
        <w:tc>
          <w:tcPr/>
          <w:p>
            <w:pPr>
              <w:pStyle w:val="Compact"/>
            </w:pPr>
            <w:r>
              <w:t xml:space="preserve">TCP</w:t>
            </w:r>
          </w:p>
        </w:tc>
        <w:tc>
          <w:tcPr/>
          <w:p>
            <w:pPr>
              <w:pStyle w:val="Compact"/>
            </w:pPr>
            <w:r>
              <w:t xml:space="preserve">22</w:t>
            </w:r>
          </w:p>
        </w:tc>
        <w:tc>
          <w:tcPr/>
          <w:p>
            <w:pPr>
              <w:pStyle w:val="Compact"/>
            </w:pPr>
            <w:r>
              <w:t xml:space="preserve">Entrant (admin)</w:t>
            </w:r>
          </w:p>
        </w:tc>
        <w:tc>
          <w:tcPr/>
          <w:p>
            <w:pPr>
              <w:pStyle w:val="Compact"/>
            </w:pPr>
            <w:r>
              <w:t xml:space="preserve">SSH (clé)</w:t>
            </w:r>
          </w:p>
        </w:tc>
        <w:tc>
          <w:tcPr/>
          <w:p>
            <w:pPr>
              <w:pStyle w:val="Compact"/>
            </w:pPr>
            <w:r>
              <w:t xml:space="preserve">Administration système</w:t>
            </w:r>
          </w:p>
        </w:tc>
      </w:tr>
      <w:tr>
        <w:tc>
          <w:tcPr/>
          <w:p>
            <w:pPr>
              <w:pStyle w:val="Compact"/>
            </w:pPr>
            <w:r>
              <w:t xml:space="preserve">F14</w:t>
            </w:r>
          </w:p>
        </w:tc>
        <w:tc>
          <w:tcPr/>
          <w:p>
            <w:pPr>
              <w:pStyle w:val="Compact"/>
            </w:pPr>
            <w:r>
              <w:t xml:space="preserve">Superviseur</w:t>
            </w:r>
          </w:p>
        </w:tc>
        <w:tc>
          <w:tcPr/>
          <w:p>
            <w:pPr>
              <w:pStyle w:val="Compact"/>
            </w:pPr>
            <w:r>
              <w:t xml:space="preserve">Serveurs / services</w:t>
            </w:r>
          </w:p>
        </w:tc>
        <w:tc>
          <w:tcPr/>
          <w:p>
            <w:pPr>
              <w:pStyle w:val="Compact"/>
            </w:pPr>
            <w:r>
              <w:t xml:space="preserve">TCP</w:t>
            </w:r>
          </w:p>
        </w:tc>
        <w:tc>
          <w:tcPr/>
          <w:p>
            <w:pPr>
              <w:pStyle w:val="Compact"/>
            </w:pPr>
            <w:r>
              <w:rPr>
                <w:rStyle w:val="VerbatimChar"/>
              </w:rPr>
              <w:t xml:space="preserve">[À RENSEIGNER — ex. 9100/9090]</w:t>
            </w:r>
          </w:p>
        </w:tc>
        <w:tc>
          <w:tcPr/>
          <w:p>
            <w:pPr>
              <w:pStyle w:val="Compact"/>
            </w:pPr>
            <w:r>
              <w:t xml:space="preserve">Interne</w:t>
            </w:r>
          </w:p>
        </w:tc>
        <w:tc>
          <w:tcPr/>
          <w:p>
            <w:pPr>
              <w:pStyle w:val="Compact"/>
            </w:pPr>
            <w:r>
              <w:t xml:space="preserve">Selon outil</w:t>
            </w:r>
          </w:p>
        </w:tc>
        <w:tc>
          <w:tcPr/>
          <w:p>
            <w:pPr>
              <w:pStyle w:val="Compact"/>
            </w:pPr>
            <w:r>
              <w:t xml:space="preserve">Supervision (métriques, sondes santé)</w:t>
            </w:r>
          </w:p>
        </w:tc>
      </w:tr>
      <w:tr>
        <w:tc>
          <w:tcPr/>
          <w:p>
            <w:pPr>
              <w:pStyle w:val="Compact"/>
            </w:pPr>
            <w:r>
              <w:t xml:space="preserve">F15</w:t>
            </w:r>
          </w:p>
        </w:tc>
        <w:tc>
          <w:tcPr/>
          <w:p>
            <w:pPr>
              <w:pStyle w:val="Compact"/>
            </w:pPr>
            <w:r>
              <w:t xml:space="preserve">Serveurs</w:t>
            </w:r>
          </w:p>
        </w:tc>
        <w:tc>
          <w:tcPr/>
          <w:p>
            <w:pPr>
              <w:pStyle w:val="Compact"/>
            </w:pPr>
            <w:r>
              <w:t xml:space="preserve">Serveur NTP interne</w:t>
            </w:r>
          </w:p>
        </w:tc>
        <w:tc>
          <w:tcPr/>
          <w:p>
            <w:pPr>
              <w:pStyle w:val="Compact"/>
            </w:pPr>
            <w:r>
              <w:t xml:space="preserve">UDP</w:t>
            </w:r>
          </w:p>
        </w:tc>
        <w:tc>
          <w:tcPr/>
          <w:p>
            <w:pPr>
              <w:pStyle w:val="Compact"/>
            </w:pPr>
            <w:r>
              <w:t xml:space="preserve">123</w:t>
            </w:r>
          </w:p>
        </w:tc>
        <w:tc>
          <w:tcPr/>
          <w:p>
            <w:pPr>
              <w:pStyle w:val="Compact"/>
            </w:pPr>
            <w:r>
              <w:t xml:space="preserve">Sortant (interne)</w:t>
            </w:r>
          </w:p>
        </w:tc>
        <w:tc>
          <w:tcPr/>
          <w:p>
            <w:pPr>
              <w:pStyle w:val="Compact"/>
            </w:pPr>
            <w:r>
              <w:t xml:space="preserve">— (source interne de confiance)</w:t>
            </w:r>
          </w:p>
        </w:tc>
        <w:tc>
          <w:tcPr/>
          <w:p>
            <w:pPr>
              <w:pStyle w:val="Compact"/>
            </w:pPr>
            <w:r>
              <w:t xml:space="preserve">Synchronisation horaire</w:t>
            </w:r>
          </w:p>
        </w:tc>
      </w:tr>
      <w:tr>
        <w:tc>
          <w:tcPr/>
          <w:p>
            <w:pPr>
              <w:pStyle w:val="Compact"/>
            </w:pPr>
            <w:r>
              <w:t xml:space="preserve">F16</w:t>
            </w:r>
          </w:p>
        </w:tc>
        <w:tc>
          <w:tcPr/>
          <w:p>
            <w:pPr>
              <w:pStyle w:val="Compact"/>
            </w:pPr>
            <w:r>
              <w:t xml:space="preserve">Serveurs</w:t>
            </w:r>
          </w:p>
        </w:tc>
        <w:tc>
          <w:tcPr/>
          <w:p>
            <w:pPr>
              <w:pStyle w:val="Compact"/>
            </w:pPr>
            <w:r>
              <w:t xml:space="preserve">Serveur DNS interne</w:t>
            </w:r>
          </w:p>
        </w:tc>
        <w:tc>
          <w:tcPr/>
          <w:p>
            <w:pPr>
              <w:pStyle w:val="Compact"/>
            </w:pPr>
            <w:r>
              <w:t xml:space="preserve">UDP/TCP</w:t>
            </w:r>
          </w:p>
        </w:tc>
        <w:tc>
          <w:tcPr/>
          <w:p>
            <w:pPr>
              <w:pStyle w:val="Compact"/>
            </w:pPr>
            <w:r>
              <w:t xml:space="preserve">53</w:t>
            </w:r>
          </w:p>
        </w:tc>
        <w:tc>
          <w:tcPr/>
          <w:p>
            <w:pPr>
              <w:pStyle w:val="Compact"/>
            </w:pPr>
            <w:r>
              <w:t xml:space="preserve">Sortant (interne)</w:t>
            </w:r>
          </w:p>
        </w:tc>
        <w:tc>
          <w:tcPr/>
          <w:p>
            <w:pPr>
              <w:pStyle w:val="Compact"/>
            </w:pPr>
            <w:r>
              <w:t xml:space="preserve">—</w:t>
            </w:r>
          </w:p>
        </w:tc>
        <w:tc>
          <w:tcPr/>
          <w:p>
            <w:pPr>
              <w:pStyle w:val="Compact"/>
            </w:pPr>
            <w:r>
              <w:t xml:space="preserve">Résolution de noms interne</w:t>
            </w:r>
          </w:p>
        </w:tc>
      </w:tr>
      <w:tr>
        <w:tc>
          <w:tcPr/>
          <w:p>
            <w:pPr>
              <w:pStyle w:val="Compact"/>
            </w:pPr>
            <w:r>
              <w:t xml:space="preserve">F17</w:t>
            </w:r>
          </w:p>
        </w:tc>
        <w:tc>
          <w:tcPr/>
          <w:p>
            <w:pPr>
              <w:pStyle w:val="Compact"/>
            </w:pPr>
            <w:r>
              <w:t xml:space="preserve">Interfaces IPMI/iDRAC/iLO</w:t>
            </w:r>
          </w:p>
        </w:tc>
        <w:tc>
          <w:tcPr/>
          <w:p>
            <w:pPr>
              <w:pStyle w:val="Compact"/>
            </w:pPr>
            <w:r>
              <w:t xml:space="preserve">VLAN administration</w:t>
            </w:r>
          </w:p>
        </w:tc>
        <w:tc>
          <w:tcPr/>
          <w:p>
            <w:pPr>
              <w:pStyle w:val="Compact"/>
            </w:pPr>
            <w:r>
              <w:t xml:space="preserve">TCP</w:t>
            </w:r>
          </w:p>
        </w:tc>
        <w:tc>
          <w:tcPr/>
          <w:p>
            <w:pPr>
              <w:pStyle w:val="Compact"/>
            </w:pPr>
            <w:r>
              <w:rPr>
                <w:rStyle w:val="VerbatimChar"/>
              </w:rPr>
              <w:t xml:space="preserve">[443/623 selon constructeur]</w:t>
            </w:r>
          </w:p>
        </w:tc>
        <w:tc>
          <w:tcPr/>
          <w:p>
            <w:pPr>
              <w:pStyle w:val="Compact"/>
            </w:pPr>
            <w:r>
              <w:t xml:space="preserve">Interne</w:t>
            </w:r>
          </w:p>
        </w:tc>
        <w:tc>
          <w:tcPr/>
          <w:p>
            <w:pPr>
              <w:pStyle w:val="Compact"/>
            </w:pPr>
            <w:r>
              <w:t xml:space="preserve">TLS</w:t>
            </w:r>
          </w:p>
        </w:tc>
        <w:tc>
          <w:tcPr/>
          <w:p>
            <w:pPr>
              <w:pStyle w:val="Compact"/>
            </w:pPr>
            <w:r>
              <w:t xml:space="preserve">Administration hors-bande</w:t>
            </w:r>
          </w:p>
        </w:tc>
      </w:tr>
    </w:tbl>
    <w:bookmarkEnd w:id="99"/>
    <w:bookmarkStart w:id="100" w:name="X146131246d6b3a2988271c7a54e798408c16c8e"/>
    <w:p>
      <w:pPr>
        <w:pStyle w:val="Heading3"/>
      </w:pPr>
      <w:r>
        <w:t xml:space="preserve">12.5 Flux de mises à jour (variante isolée)</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w:t>
            </w:r>
          </w:p>
        </w:tc>
        <w:tc>
          <w:tcPr/>
          <w:p>
            <w:pPr>
              <w:pStyle w:val="Compact"/>
            </w:pPr>
            <w:r>
              <w:t xml:space="preserve">Source</w:t>
            </w:r>
          </w:p>
        </w:tc>
        <w:tc>
          <w:tcPr/>
          <w:p>
            <w:pPr>
              <w:pStyle w:val="Compact"/>
            </w:pPr>
            <w:r>
              <w:t xml:space="preserve">Destination</w:t>
            </w:r>
          </w:p>
        </w:tc>
        <w:tc>
          <w:tcPr/>
          <w:p>
            <w:pPr>
              <w:pStyle w:val="Compact"/>
            </w:pPr>
            <w:r>
              <w:t xml:space="preserve">Protocole</w:t>
            </w:r>
          </w:p>
        </w:tc>
        <w:tc>
          <w:tcPr/>
          <w:p>
            <w:pPr>
              <w:pStyle w:val="Compact"/>
            </w:pPr>
            <w:r>
              <w:t xml:space="preserve">Port</w:t>
            </w:r>
          </w:p>
        </w:tc>
        <w:tc>
          <w:tcPr/>
          <w:p>
            <w:pPr>
              <w:pStyle w:val="Compact"/>
            </w:pPr>
            <w:r>
              <w:t xml:space="preserve">Sens</w:t>
            </w:r>
          </w:p>
        </w:tc>
        <w:tc>
          <w:tcPr/>
          <w:p>
            <w:pPr>
              <w:pStyle w:val="Compact"/>
            </w:pPr>
            <w:r>
              <w:t xml:space="preserve">Chiffrement</w:t>
            </w:r>
          </w:p>
        </w:tc>
        <w:tc>
          <w:tcPr/>
          <w:p>
            <w:pPr>
              <w:pStyle w:val="Compact"/>
            </w:pPr>
            <w:r>
              <w:t xml:space="preserve">Justification</w:t>
            </w:r>
          </w:p>
        </w:tc>
      </w:tr>
      <w:tr>
        <w:tc>
          <w:tcPr/>
          <w:p>
            <w:pPr>
              <w:pStyle w:val="Compact"/>
            </w:pPr>
            <w:r>
              <w:t xml:space="preserve">F18</w:t>
            </w:r>
          </w:p>
        </w:tc>
        <w:tc>
          <w:tcPr/>
          <w:p>
            <w:pPr>
              <w:pStyle w:val="Compact"/>
            </w:pPr>
            <w:r>
              <w:t xml:space="preserve">Serveurs</w:t>
            </w:r>
          </w:p>
        </w:tc>
        <w:tc>
          <w:tcPr/>
          <w:p>
            <w:pPr>
              <w:pStyle w:val="Compact"/>
            </w:pPr>
            <w:r>
              <w:t xml:space="preserve">Dépôt local / registre interne</w:t>
            </w:r>
          </w:p>
        </w:tc>
        <w:tc>
          <w:tcPr/>
          <w:p>
            <w:pPr>
              <w:pStyle w:val="Compact"/>
            </w:pPr>
            <w:r>
              <w:t xml:space="preserve">TCP</w:t>
            </w:r>
          </w:p>
        </w:tc>
        <w:tc>
          <w:tcPr/>
          <w:p>
            <w:pPr>
              <w:pStyle w:val="Compact"/>
            </w:pPr>
            <w:r>
              <w:rPr>
                <w:rStyle w:val="VerbatimChar"/>
              </w:rPr>
              <w:t xml:space="preserve">[À RENSEIGNER — ex. 443/5000]</w:t>
            </w:r>
          </w:p>
        </w:tc>
        <w:tc>
          <w:tcPr/>
          <w:p>
            <w:pPr>
              <w:pStyle w:val="Compact"/>
            </w:pPr>
            <w:r>
              <w:t xml:space="preserve">Interne</w:t>
            </w:r>
          </w:p>
        </w:tc>
        <w:tc>
          <w:tcPr/>
          <w:p>
            <w:pPr>
              <w:pStyle w:val="Compact"/>
            </w:pPr>
            <w:r>
              <w:t xml:space="preserve">TLS interne</w:t>
            </w:r>
          </w:p>
        </w:tc>
        <w:tc>
          <w:tcPr/>
          <w:p>
            <w:pPr>
              <w:pStyle w:val="Compact"/>
            </w:pPr>
            <w:r>
              <w:t xml:space="preserve">Récupération d'images Docker et paquets (dépôt hors-ligne)</w:t>
            </w:r>
          </w:p>
        </w:tc>
      </w:tr>
      <w:tr>
        <w:tc>
          <w:tcPr/>
          <w:p>
            <w:pPr>
              <w:pStyle w:val="Compact"/>
            </w:pPr>
            <w:r>
              <w:t xml:space="preserve">F19</w:t>
            </w:r>
          </w:p>
        </w:tc>
        <w:tc>
          <w:tcPr/>
          <w:p>
            <w:pPr>
              <w:pStyle w:val="Compact"/>
            </w:pPr>
            <w:r>
              <w:t xml:space="preserve">(hors production) Poste relais</w:t>
            </w:r>
          </w:p>
        </w:tc>
        <w:tc>
          <w:tcPr/>
          <w:p>
            <w:pPr>
              <w:pStyle w:val="Compact"/>
            </w:pPr>
            <w:r>
              <w:t xml:space="preserve">(support maîtrisé)</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Approvisionnement des signatures ClamAV et paquets, hors production</w:t>
            </w:r>
          </w:p>
        </w:tc>
      </w:tr>
    </w:tbl>
    <w:p>
      <w:pPr>
        <w:pStyle w:val="BlockText"/>
      </w:pPr>
      <w:r>
        <w:rPr>
          <w:b/>
          <w:bCs/>
        </w:rPr>
        <w:t xml:space="preserve">Variante isolée — synthèse :</w:t>
      </w:r>
      <w:r>
        <w:t xml:space="preserve"> </w:t>
      </w:r>
      <w:r>
        <w:t xml:space="preserve">aucun flux F vers Internet en fonctionnement nominal. Les mises à jour transitent exclusivement par un dépôt local alimenté de façon maîtrisée. En variante non isolée (le cas échéant, à la demande du Client), les flux sortants éventuels (passerelle LLM externe, sauvegarde externalisée) seraient ajoutés et documentés séparément — non retenus ici.</w:t>
      </w:r>
    </w:p>
    <w:p>
      <w:r>
        <w:pict>
          <v:rect style="width:0;height:1.5pt" o:hralign="center" o:hrstd="t" o:hr="t"/>
        </w:pict>
      </w:r>
    </w:p>
    <w:bookmarkEnd w:id="100"/>
    <w:bookmarkEnd w:id="101"/>
    <w:bookmarkStart w:id="112" w:name="X59972c61c759d8092bd0804e059b048b25f78b2"/>
    <w:p>
      <w:pPr>
        <w:pStyle w:val="Heading2"/>
      </w:pPr>
      <w:r>
        <w:t xml:space="preserve">13. Scénarios de bascule et de reprise sur panne</w:t>
      </w:r>
    </w:p>
    <w:p>
      <w:pPr>
        <w:pStyle w:val="BlockText"/>
      </w:pPr>
      <w:r>
        <w:t xml:space="preserve">Les objectifs affichés sont des</w:t>
      </w:r>
      <w:r>
        <w:t xml:space="preserve"> </w:t>
      </w:r>
      <w:r>
        <w:rPr>
          <w:b/>
          <w:bCs/>
        </w:rPr>
        <w:t xml:space="preserve">objectifs d'architecture cible à valider en recette</w:t>
      </w:r>
      <w:r>
        <w:t xml:space="preserve"> </w:t>
      </w:r>
      <w:r>
        <w:t xml:space="preserve">(voir</w:t>
      </w:r>
      <w:r>
        <w:t xml:space="preserve"> </w:t>
      </w:r>
      <w:r>
        <w:rPr>
          <w:rStyle w:val="VerbatimChar"/>
        </w:rPr>
        <w:t xml:space="preserve">03_Dossier_Qualification_Cahier_Recette.md</w:t>
      </w:r>
      <w:r>
        <w:t xml:space="preserve">, groupe T-BASCULE). Objectif global :</w:t>
      </w:r>
      <w:r>
        <w:t xml:space="preserve"> </w:t>
      </w:r>
      <w:r>
        <w:rPr>
          <w:b/>
          <w:bCs/>
        </w:rPr>
        <w:t xml:space="preserve">RTO 4 h</w:t>
      </w:r>
      <w:r>
        <w:t xml:space="preserve"> </w:t>
      </w:r>
      <w:r>
        <w:t xml:space="preserve">;</w:t>
      </w:r>
      <w:r>
        <w:t xml:space="preserve"> </w:t>
      </w:r>
      <w:r>
        <w:rPr>
          <w:b/>
          <w:bCs/>
        </w:rPr>
        <w:t xml:space="preserve">RPO 24 h maximum</w:t>
      </w:r>
      <w:r>
        <w:t xml:space="preserve">, avec pour cible</w:t>
      </w:r>
      <w:r>
        <w:t xml:space="preserve"> </w:t>
      </w:r>
      <w:r>
        <w:rPr>
          <w:b/>
          <w:bCs/>
        </w:rPr>
        <w:t xml:space="preserve">RPO ≤ 15 min</w:t>
      </w:r>
      <w:r>
        <w:t xml:space="preserve"> </w:t>
      </w:r>
      <w:r>
        <w:t xml:space="preserve">en réplication continue (à confirmer en recette selon la liaison inter-salles).</w:t>
      </w:r>
    </w:p>
    <w:bookmarkStart w:id="102" w:name="X4dc160597130aae33434cbefd5909f293b6db08"/>
    <w:p>
      <w:pPr>
        <w:pStyle w:val="Heading3"/>
      </w:pPr>
      <w:r>
        <w:t xml:space="preserve">13.1 Panne d'un service applicatif (au sein de Salle 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Description</w:t>
            </w:r>
          </w:p>
        </w:tc>
      </w:tr>
      <w:tr>
        <w:tc>
          <w:tcPr/>
          <w:p>
            <w:pPr>
              <w:pStyle w:val="Compact"/>
            </w:pPr>
            <w:r>
              <w:t xml:space="preserve">Détection</w:t>
            </w:r>
          </w:p>
        </w:tc>
        <w:tc>
          <w:tcPr/>
          <w:p>
            <w:pPr>
              <w:pStyle w:val="Compact"/>
            </w:pPr>
            <w:r>
              <w:t xml:space="preserve">Sonde de santé du conteneur (Docker healthcheck) + supervision ;</w:t>
            </w:r>
            <w:r>
              <w:t xml:space="preserve"> </w:t>
            </w:r>
            <w:r>
              <w:rPr>
                <w:rStyle w:val="VerbatimChar"/>
              </w:rPr>
              <w:t xml:space="preserve">restart: unless-stopped</w:t>
            </w:r>
          </w:p>
        </w:tc>
      </w:tr>
      <w:tr>
        <w:tc>
          <w:tcPr/>
          <w:p>
            <w:pPr>
              <w:pStyle w:val="Compact"/>
            </w:pPr>
            <w:r>
              <w:t xml:space="preserve">Actions</w:t>
            </w:r>
          </w:p>
        </w:tc>
        <w:tc>
          <w:tcPr/>
          <w:p>
            <w:pPr>
              <w:pStyle w:val="Compact"/>
            </w:pPr>
            <w:r>
              <w:t xml:space="preserve">Redémarrage automatique du conteneur ; si nginx redémarre après app, appliquer le réamorçage nginx (voir dossier d'exploitation, piège 502)</w:t>
            </w:r>
          </w:p>
        </w:tc>
      </w:tr>
      <w:tr>
        <w:tc>
          <w:tcPr/>
          <w:p>
            <w:pPr>
              <w:pStyle w:val="Compact"/>
            </w:pPr>
            <w:r>
              <w:t xml:space="preserve">RTO estimé</w:t>
            </w:r>
          </w:p>
        </w:tc>
        <w:tc>
          <w:tcPr/>
          <w:p>
            <w:pPr>
              <w:pStyle w:val="Compact"/>
            </w:pPr>
            <w:r>
              <w:t xml:space="preserve">Quelques secondes à minutes (redémarrage conteneur)</w:t>
            </w:r>
          </w:p>
        </w:tc>
      </w:tr>
      <w:tr>
        <w:tc>
          <w:tcPr/>
          <w:p>
            <w:pPr>
              <w:pStyle w:val="Compact"/>
            </w:pPr>
            <w:r>
              <w:t xml:space="preserve">RPO</w:t>
            </w:r>
          </w:p>
        </w:tc>
        <w:tc>
          <w:tcPr/>
          <w:p>
            <w:pPr>
              <w:pStyle w:val="Compact"/>
            </w:pPr>
            <w:r>
              <w:t xml:space="preserve">Nul (aucune perte de données — base intacte)</w:t>
            </w:r>
          </w:p>
        </w:tc>
      </w:tr>
    </w:tbl>
    <w:bookmarkEnd w:id="102"/>
    <w:bookmarkStart w:id="103" w:name="Xcc6aeb9f72c97c8faaede41310c069b80b7786a"/>
    <w:p>
      <w:pPr>
        <w:pStyle w:val="Heading3"/>
      </w:pPr>
      <w:r>
        <w:t xml:space="preserve">13.2 Panne du serveur applicatif Salle A (matériel), site principal par ailleurs disponible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Description</w:t>
            </w:r>
          </w:p>
        </w:tc>
      </w:tr>
      <w:tr>
        <w:tc>
          <w:tcPr/>
          <w:p>
            <w:pPr>
              <w:pStyle w:val="Compact"/>
            </w:pPr>
            <w:r>
              <w:t xml:space="preserve">Détection</w:t>
            </w:r>
          </w:p>
        </w:tc>
        <w:tc>
          <w:tcPr/>
          <w:p>
            <w:pPr>
              <w:pStyle w:val="Compact"/>
            </w:pPr>
            <w:r>
              <w:t xml:space="preserve">Supervision (perte d'hôte), échec des sondes</w:t>
            </w:r>
          </w:p>
        </w:tc>
      </w:tr>
      <w:tr>
        <w:tc>
          <w:tcPr/>
          <w:p>
            <w:pPr>
              <w:pStyle w:val="Compact"/>
            </w:pPr>
            <w:r>
              <w:t xml:space="preserve">Actions</w:t>
            </w:r>
          </w:p>
        </w:tc>
        <w:tc>
          <w:tcPr/>
          <w:p>
            <w:pPr>
              <w:pStyle w:val="Compact"/>
            </w:pPr>
            <w:r>
              <w:t xml:space="preserve">Redémarrage matériel / intervention ; si indisponibilité prolongée, bascule vers Salle B (§13.3)</w:t>
            </w:r>
          </w:p>
        </w:tc>
      </w:tr>
      <w:tr>
        <w:tc>
          <w:tcPr/>
          <w:p>
            <w:pPr>
              <w:pStyle w:val="Compact"/>
            </w:pPr>
            <w:r>
              <w:t xml:space="preserve">RTO estimé</w:t>
            </w:r>
          </w:p>
        </w:tc>
        <w:tc>
          <w:tcPr/>
          <w:p>
            <w:pPr>
              <w:pStyle w:val="Compact"/>
            </w:pPr>
            <w:r>
              <w:t xml:space="preserve">Selon intervention matérielle ; sinon bascule Salle B &lt; 4 h</w:t>
            </w:r>
          </w:p>
        </w:tc>
      </w:tr>
      <w:tr>
        <w:tc>
          <w:tcPr/>
          <w:p>
            <w:pPr>
              <w:pStyle w:val="Compact"/>
            </w:pPr>
            <w:r>
              <w:t xml:space="preserve">RPO</w:t>
            </w:r>
          </w:p>
        </w:tc>
        <w:tc>
          <w:tcPr/>
          <w:p>
            <w:pPr>
              <w:pStyle w:val="Compact"/>
            </w:pPr>
            <w:r>
              <w:t xml:space="preserve">Nul si base et stockage intacts</w:t>
            </w:r>
          </w:p>
        </w:tc>
      </w:tr>
    </w:tbl>
    <w:bookmarkEnd w:id="103"/>
    <w:bookmarkStart w:id="107" w:name="Xfa76b50e26d807c777a3dcea857f889a7641386"/>
    <w:p>
      <w:pPr>
        <w:pStyle w:val="Heading3"/>
      </w:pPr>
      <w:r>
        <w:t xml:space="preserve">13.3 Perte de la Salle A → promotion Salle B (bascule)</w:t>
      </w:r>
    </w:p>
    <w:p>
      <w:pPr>
        <w:pStyle w:val="FirstParagraph"/>
      </w:pPr>
      <w:r>
        <w:drawing>
          <wp:inline>
            <wp:extent cx="5334000" cy="1250526"/>
            <wp:effectExtent b="0" l="0" r="0" t="0"/>
            <wp:docPr descr="Chronologie de bascule" title="" id="105" name="Picture"/>
            <a:graphic>
              <a:graphicData uri="http://schemas.openxmlformats.org/drawingml/2006/picture">
                <pic:pic>
                  <pic:nvPicPr>
                    <pic:cNvPr descr="img/bascule.png" id="106" name="Picture"/>
                    <pic:cNvPicPr>
                      <a:picLocks noChangeArrowheads="1" noChangeAspect="1"/>
                    </pic:cNvPicPr>
                  </pic:nvPicPr>
                  <pic:blipFill>
                    <a:blip r:embed="rId104"/>
                    <a:stretch>
                      <a:fillRect/>
                    </a:stretch>
                  </pic:blipFill>
                  <pic:spPr bwMode="auto">
                    <a:xfrm>
                      <a:off x="0" y="0"/>
                      <a:ext cx="5334000" cy="1250526"/>
                    </a:xfrm>
                    <a:prstGeom prst="rect">
                      <a:avLst/>
                    </a:prstGeom>
                    <a:noFill/>
                    <a:ln w="9525">
                      <a:noFill/>
                      <a:headEnd/>
                      <a:tailEnd/>
                    </a:ln>
                  </pic:spPr>
                </pic:pic>
              </a:graphicData>
            </a:graphic>
          </wp:inline>
        </w:drawing>
      </w:r>
    </w:p>
    <w:p>
      <w:pPr>
        <w:pStyle w:val="BodyText"/>
      </w:pPr>
      <w:r>
        <w:rPr>
          <w:i/>
          <w:iCs/>
        </w:rPr>
        <w:t xml:space="preserve">Figure 4 — Chronologie de bascule en cas de perte du site principal (Salle A) : promotion du standby (Salle B) et bascule VIP/DNS, objectif RTO 4 h (version Visio .vsdx remise en phase d'implantation).</w:t>
      </w:r>
    </w:p>
    <w:p>
      <w:pPr>
        <w:pStyle w:val="BodyText"/>
      </w:pPr>
      <w:r>
        <w:rPr>
          <w:b/>
          <w:bCs/>
        </w:rPr>
        <w:t xml:space="preserve">Version texte du synoptique :</w:t>
      </w:r>
    </w:p>
    <w:p>
      <w:pPr>
        <w:pStyle w:val="SourceCode"/>
      </w:pPr>
      <w:r>
        <w:rPr>
          <w:rStyle w:val="VerbatimChar"/>
        </w:rPr>
        <w:t xml:space="preserve">   AVANT (nominal)                         APRÈS BASCULE</w:t>
      </w:r>
      <w:r>
        <w:br/>
      </w:r>
      <w:r>
        <w:rPr>
          <w:rStyle w:val="VerbatimChar"/>
        </w:rPr>
        <w:t xml:space="preserve">   ┌──────────┐   réplication  ┌──────────┐   ┌──────────┐        ┌──────────┐</w:t>
      </w:r>
      <w:r>
        <w:br/>
      </w:r>
      <w:r>
        <w:rPr>
          <w:rStyle w:val="VerbatimChar"/>
        </w:rPr>
        <w:t xml:space="preserve">   │ Salle A app  │───────────────►│ Salle B app  │   │ Salle A app  │  X     │ Salle B app  │</w:t>
      </w:r>
      <w:r>
        <w:br/>
      </w:r>
      <w:r>
        <w:rPr>
          <w:rStyle w:val="VerbatimChar"/>
        </w:rPr>
        <w:t xml:space="preserve">   │ (PRIMARY)│                │ (STANDBY)│   │ (perdue) │        │ (PRIMARY)│</w:t>
      </w:r>
      <w:r>
        <w:br/>
      </w:r>
      <w:r>
        <w:rPr>
          <w:rStyle w:val="VerbatimChar"/>
        </w:rPr>
        <w:t xml:space="preserve">   └────┬─────┘                └────┬─────┘   └──────────┘        └────┬─────┘</w:t>
      </w:r>
      <w:r>
        <w:br/>
      </w:r>
      <w:r>
        <w:rPr>
          <w:rStyle w:val="VerbatimChar"/>
        </w:rPr>
        <w:t xml:space="preserve">        │ VIP → Salle A                 │              VIP bascule → Salle B    │</w:t>
      </w:r>
      <w:r>
        <w:br/>
      </w:r>
      <w:r>
        <w:rPr>
          <w:rStyle w:val="VerbatimChar"/>
        </w:rPr>
        <w:t xml:space="preserve">        ▼                           ▼                                  ▼</w:t>
      </w:r>
      <w:r>
        <w:br/>
      </w:r>
      <w:r>
        <w:rPr>
          <w:rStyle w:val="VerbatimChar"/>
        </w:rPr>
        <w:t xml:space="preserve">   Utilisateurs ──► Salle A       (en attente)        Utilisateurs ──────► Salle B</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Description</w:t>
            </w:r>
          </w:p>
        </w:tc>
      </w:tr>
      <w:tr>
        <w:tc>
          <w:tcPr/>
          <w:p>
            <w:pPr>
              <w:pStyle w:val="Compact"/>
            </w:pPr>
            <w:r>
              <w:t xml:space="preserve">Détection</w:t>
            </w:r>
          </w:p>
        </w:tc>
        <w:tc>
          <w:tcPr/>
          <w:p>
            <w:pPr>
              <w:pStyle w:val="Compact"/>
            </w:pPr>
            <w:r>
              <w:t xml:space="preserve">Perte de la Salle A (supervision, absence de réponse VIP, alerte site)</w:t>
            </w:r>
          </w:p>
        </w:tc>
      </w:tr>
      <w:tr>
        <w:tc>
          <w:tcPr/>
          <w:p>
            <w:pPr>
              <w:pStyle w:val="Compact"/>
            </w:pPr>
            <w:r>
              <w:t xml:space="preserve">Actions</w:t>
            </w:r>
          </w:p>
        </w:tc>
        <w:tc>
          <w:tcPr/>
          <w:p>
            <w:pPr>
              <w:pStyle w:val="Compact"/>
            </w:pPr>
            <w:r>
              <w:t xml:space="preserve">1) Décision de bascule (astreinte) ; 2)</w:t>
            </w:r>
            <w:r>
              <w:t xml:space="preserve"> </w:t>
            </w:r>
            <w:r>
              <w:rPr>
                <w:b/>
                <w:bCs/>
              </w:rPr>
              <w:t xml:space="preserve">Promotion du standby PostgreSQL Salle B</w:t>
            </w:r>
            <w:r>
              <w:t xml:space="preserve"> </w:t>
            </w:r>
            <w:r>
              <w:t xml:space="preserve">en primaire ; 3) Démarrage de la stack applicative Salle B en mode actif ; 4)</w:t>
            </w:r>
            <w:r>
              <w:t xml:space="preserve"> </w:t>
            </w:r>
            <w:r>
              <w:rPr>
                <w:b/>
                <w:bCs/>
              </w:rPr>
              <w:t xml:space="preserve">Bascule VIP / DNS</w:t>
            </w:r>
            <w:r>
              <w:t xml:space="preserve"> </w:t>
            </w:r>
            <w:r>
              <w:t xml:space="preserve">vers Salle B ; 5) Redirection du serveur GPU Salle B vers l'API Salle B ; 6) Vérifications de santé (voir cahier de recette)</w:t>
            </w:r>
          </w:p>
        </w:tc>
      </w:tr>
      <w:tr>
        <w:tc>
          <w:tcPr/>
          <w:p>
            <w:pPr>
              <w:pStyle w:val="Compact"/>
            </w:pPr>
            <w:r>
              <w:t xml:space="preserve">RTO estimé</w:t>
            </w:r>
          </w:p>
        </w:tc>
        <w:tc>
          <w:tcPr/>
          <w:p>
            <w:pPr>
              <w:pStyle w:val="Compact"/>
            </w:pPr>
            <w:r>
              <w:rPr>
                <w:b/>
                <w:bCs/>
              </w:rPr>
              <w:t xml:space="preserve">≤ 4 h</w:t>
            </w:r>
            <w:r>
              <w:t xml:space="preserve"> </w:t>
            </w:r>
            <w:r>
              <w:t xml:space="preserve">(objectif)</w:t>
            </w:r>
          </w:p>
        </w:tc>
      </w:tr>
      <w:tr>
        <w:tc>
          <w:tcPr/>
          <w:p>
            <w:pPr>
              <w:pStyle w:val="Compact"/>
            </w:pPr>
            <w:r>
              <w:t xml:space="preserve">RPO estimé</w:t>
            </w:r>
          </w:p>
        </w:tc>
        <w:tc>
          <w:tcPr/>
          <w:p>
            <w:pPr>
              <w:pStyle w:val="Compact"/>
            </w:pPr>
            <w:r>
              <w:t xml:space="preserve">≤ 24 h garanti ;</w:t>
            </w:r>
            <w:r>
              <w:t xml:space="preserve"> </w:t>
            </w:r>
            <w:r>
              <w:rPr>
                <w:b/>
                <w:bCs/>
              </w:rPr>
              <w:t xml:space="preserve">≤ 15 min visé</w:t>
            </w:r>
            <w:r>
              <w:t xml:space="preserve"> </w:t>
            </w:r>
            <w:r>
              <w:t xml:space="preserve">en réplication continue (retard de réplication au moment de la perte) — à mesurer en recette</w:t>
            </w:r>
          </w:p>
        </w:tc>
      </w:tr>
    </w:tbl>
    <w:bookmarkEnd w:id="107"/>
    <w:bookmarkStart w:id="108" w:name="X0c112353828fbf0152a0ba6b2e9600518d13f71"/>
    <w:p>
      <w:pPr>
        <w:pStyle w:val="Heading3"/>
      </w:pPr>
      <w:r>
        <w:t xml:space="preserve">13.4 Retour arrière (retour sur Salle A après réparation)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Description</w:t>
            </w:r>
          </w:p>
        </w:tc>
      </w:tr>
      <w:tr>
        <w:tc>
          <w:tcPr/>
          <w:p>
            <w:pPr>
              <w:pStyle w:val="Compact"/>
            </w:pPr>
            <w:r>
              <w:t xml:space="preserve">Actions</w:t>
            </w:r>
          </w:p>
        </w:tc>
        <w:tc>
          <w:tcPr/>
          <w:p>
            <w:pPr>
              <w:pStyle w:val="Compact"/>
            </w:pPr>
            <w:r>
              <w:t xml:space="preserve">1) Reconstruction du serveur Salle A ; 2) Resynchronisation depuis Salle B (Salle A devient standby) ; 3) Fenêtre de maintenance planifiée ; 4) Re-bascule contrôlée VIP → Salle A ; 5) Vérifications</w:t>
            </w:r>
          </w:p>
        </w:tc>
      </w:tr>
      <w:tr>
        <w:tc>
          <w:tcPr/>
          <w:p>
            <w:pPr>
              <w:pStyle w:val="Compact"/>
            </w:pPr>
            <w:r>
              <w:t xml:space="preserve">RTO</w:t>
            </w:r>
          </w:p>
        </w:tc>
        <w:tc>
          <w:tcPr/>
          <w:p>
            <w:pPr>
              <w:pStyle w:val="Compact"/>
            </w:pPr>
            <w:r>
              <w:t xml:space="preserve">Opération planifiée hors incident (fenêtre de maintenance)</w:t>
            </w:r>
          </w:p>
        </w:tc>
      </w:tr>
      <w:tr>
        <w:tc>
          <w:tcPr/>
          <w:p>
            <w:pPr>
              <w:pStyle w:val="Compact"/>
            </w:pPr>
            <w:r>
              <w:t xml:space="preserve">RPO</w:t>
            </w:r>
          </w:p>
        </w:tc>
        <w:tc>
          <w:tcPr/>
          <w:p>
            <w:pPr>
              <w:pStyle w:val="Compact"/>
            </w:pPr>
            <w:r>
              <w:t xml:space="preserve">Nul (resynchronisation complète avant re-bascule)</w:t>
            </w:r>
          </w:p>
        </w:tc>
      </w:tr>
    </w:tbl>
    <w:bookmarkEnd w:id="108"/>
    <w:bookmarkStart w:id="109" w:name="Xf800a4648e45167d2b37c9a2c67e34bc4c4cd7a"/>
    <w:p>
      <w:pPr>
        <w:pStyle w:val="Heading3"/>
      </w:pPr>
      <w:r>
        <w:t xml:space="preserve">13.5 Perte des deux salles → restauration depuis sauvegardes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Description</w:t>
            </w:r>
          </w:p>
        </w:tc>
      </w:tr>
      <w:tr>
        <w:tc>
          <w:tcPr/>
          <w:p>
            <w:pPr>
              <w:pStyle w:val="Compact"/>
            </w:pPr>
            <w:r>
              <w:t xml:space="preserve">Détection</w:t>
            </w:r>
          </w:p>
        </w:tc>
        <w:tc>
          <w:tcPr/>
          <w:p>
            <w:pPr>
              <w:pStyle w:val="Compact"/>
            </w:pPr>
            <w:r>
              <w:t xml:space="preserve">Perte simultanée Salle A + Salle B (sinistre majeur)</w:t>
            </w:r>
          </w:p>
        </w:tc>
      </w:tr>
      <w:tr>
        <w:tc>
          <w:tcPr/>
          <w:p>
            <w:pPr>
              <w:pStyle w:val="Compact"/>
            </w:pPr>
            <w:r>
              <w:t xml:space="preserve">Actions</w:t>
            </w:r>
          </w:p>
        </w:tc>
        <w:tc>
          <w:tcPr/>
          <w:p>
            <w:pPr>
              <w:pStyle w:val="Compact"/>
            </w:pPr>
            <w:r>
              <w:t xml:space="preserve">1) Reconstruction d'une plateforme (site de repli / matériel de remplacement) ; 2) Restauration depuis la</w:t>
            </w:r>
            <w:r>
              <w:t xml:space="preserve"> </w:t>
            </w:r>
            <w:r>
              <w:rPr>
                <w:b/>
                <w:bCs/>
              </w:rPr>
              <w:t xml:space="preserve">dernière sauvegarde chiffrée</w:t>
            </w:r>
            <w:r>
              <w:t xml:space="preserve"> </w:t>
            </w:r>
            <w:r>
              <w:t xml:space="preserve">(</w:t>
            </w:r>
            <w:r>
              <w:rPr>
                <w:rStyle w:val="VerbatimChar"/>
              </w:rPr>
              <w:t xml:space="preserve">age</w:t>
            </w:r>
            <w:r>
              <w:t xml:space="preserve">) ; 3) Vérification d'intégrité ; 4) Remise en service</w:t>
            </w:r>
          </w:p>
        </w:tc>
      </w:tr>
      <w:tr>
        <w:tc>
          <w:tcPr/>
          <w:p>
            <w:pPr>
              <w:pStyle w:val="Compact"/>
            </w:pPr>
            <w:r>
              <w:t xml:space="preserve">RTO estimé</w:t>
            </w:r>
          </w:p>
        </w:tc>
        <w:tc>
          <w:tcPr/>
          <w:p>
            <w:pPr>
              <w:pStyle w:val="Compact"/>
            </w:pPr>
            <w:r>
              <w:t xml:space="preserve">Fonction de la disponibilité du matériel de remplacement — au-delà du RTO nominal ; à cadrer dans le PCA du Client</w:t>
            </w:r>
          </w:p>
        </w:tc>
      </w:tr>
      <w:tr>
        <w:tc>
          <w:tcPr/>
          <w:p>
            <w:pPr>
              <w:pStyle w:val="Compact"/>
            </w:pPr>
            <w:r>
              <w:t xml:space="preserve">RPO estimé</w:t>
            </w:r>
          </w:p>
        </w:tc>
        <w:tc>
          <w:tcPr/>
          <w:p>
            <w:pPr>
              <w:pStyle w:val="Compact"/>
            </w:pPr>
            <w:r>
              <w:t xml:space="preserve">≤ 24 h (dernière sauvegarde quotidienne)</w:t>
            </w:r>
          </w:p>
        </w:tc>
      </w:tr>
    </w:tbl>
    <w:bookmarkEnd w:id="109"/>
    <w:bookmarkStart w:id="110" w:name="X8f51d21c974d8a71fe085129d2f8a9a5e12289a"/>
    <w:p>
      <w:pPr>
        <w:pStyle w:val="Heading3"/>
      </w:pPr>
      <w:r>
        <w:t xml:space="preserve">13.6 Corruption de données → restauration granulaire par organisation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Description</w:t>
            </w:r>
          </w:p>
        </w:tc>
      </w:tr>
      <w:tr>
        <w:tc>
          <w:tcPr/>
          <w:p>
            <w:pPr>
              <w:pStyle w:val="Compact"/>
            </w:pPr>
            <w:r>
              <w:t xml:space="preserve">Détection</w:t>
            </w:r>
          </w:p>
        </w:tc>
        <w:tc>
          <w:tcPr/>
          <w:p>
            <w:pPr>
              <w:pStyle w:val="Compact"/>
            </w:pPr>
            <w:r>
              <w:t xml:space="preserve">Anomalie applicative, signalement, contrôle d'intégrité</w:t>
            </w:r>
          </w:p>
        </w:tc>
      </w:tr>
      <w:tr>
        <w:tc>
          <w:tcPr/>
          <w:p>
            <w:pPr>
              <w:pStyle w:val="Compact"/>
            </w:pPr>
            <w:r>
              <w:t xml:space="preserve">Actions</w:t>
            </w:r>
          </w:p>
        </w:tc>
        <w:tc>
          <w:tcPr/>
          <w:p>
            <w:pPr>
              <w:pStyle w:val="Compact"/>
            </w:pPr>
            <w:r>
              <w:t xml:space="preserve">1)</w:t>
            </w:r>
            <w:r>
              <w:t xml:space="preserve"> </w:t>
            </w:r>
            <w:r>
              <w:rPr>
                <w:b/>
                <w:bCs/>
              </w:rPr>
              <w:t xml:space="preserve">Snapshot de sécurité</w:t>
            </w:r>
            <w:r>
              <w:t xml:space="preserve"> </w:t>
            </w:r>
            <w:r>
              <w:t xml:space="preserve">de l'état courant (anti-écrasement) ; 2)</w:t>
            </w:r>
            <w:r>
              <w:t xml:space="preserve"> </w:t>
            </w:r>
            <w:r>
              <w:rPr>
                <w:b/>
                <w:bCs/>
              </w:rPr>
              <w:t xml:space="preserve">Restauration granulaire</w:t>
            </w:r>
            <w:r>
              <w:t xml:space="preserve"> </w:t>
            </w:r>
            <w:r>
              <w:t xml:space="preserve">du seul schéma de l'organisation concernée depuis la sauvegarde ; 3) Vérification ; 4) Reprise</w:t>
            </w:r>
          </w:p>
        </w:tc>
      </w:tr>
      <w:tr>
        <w:tc>
          <w:tcPr/>
          <w:p>
            <w:pPr>
              <w:pStyle w:val="Compact"/>
            </w:pPr>
            <w:r>
              <w:t xml:space="preserve">RTO estimé</w:t>
            </w:r>
          </w:p>
        </w:tc>
        <w:tc>
          <w:tcPr/>
          <w:p>
            <w:pPr>
              <w:pStyle w:val="Compact"/>
            </w:pPr>
            <w:r>
              <w:t xml:space="preserve">Court (périmètre limité à une organisation)</w:t>
            </w:r>
          </w:p>
        </w:tc>
      </w:tr>
      <w:tr>
        <w:tc>
          <w:tcPr/>
          <w:p>
            <w:pPr>
              <w:pStyle w:val="Compact"/>
            </w:pPr>
            <w:r>
              <w:t xml:space="preserve">RPO estimé</w:t>
            </w:r>
          </w:p>
        </w:tc>
        <w:tc>
          <w:tcPr/>
          <w:p>
            <w:pPr>
              <w:pStyle w:val="Compact"/>
            </w:pPr>
            <w:r>
              <w:t xml:space="preserve">≤ 24 h pour l'organisation restaurée</w:t>
            </w:r>
          </w:p>
        </w:tc>
      </w:tr>
    </w:tbl>
    <w:bookmarkEnd w:id="110"/>
    <w:bookmarkStart w:id="111" w:name="Xab0150e8c530cf65f408bf7ec783496aba1e073"/>
    <w:p>
      <w:pPr>
        <w:pStyle w:val="Heading3"/>
      </w:pPr>
      <w:r>
        <w:t xml:space="preserve">13.7 Synthèse des objectifs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Scénario</w:t>
            </w:r>
          </w:p>
        </w:tc>
        <w:tc>
          <w:tcPr/>
          <w:p>
            <w:pPr>
              <w:pStyle w:val="Compact"/>
            </w:pPr>
            <w:r>
              <w:t xml:space="preserve">RTO (objectif)</w:t>
            </w:r>
          </w:p>
        </w:tc>
        <w:tc>
          <w:tcPr/>
          <w:p>
            <w:pPr>
              <w:pStyle w:val="Compact"/>
            </w:pPr>
            <w:r>
              <w:t xml:space="preserve">RPO (objectif)</w:t>
            </w:r>
          </w:p>
        </w:tc>
      </w:tr>
      <w:tr>
        <w:tc>
          <w:tcPr/>
          <w:p>
            <w:pPr>
              <w:pStyle w:val="Compact"/>
            </w:pPr>
            <w:r>
              <w:t xml:space="preserve">Panne d'un service</w:t>
            </w:r>
          </w:p>
        </w:tc>
        <w:tc>
          <w:tcPr/>
          <w:p>
            <w:pPr>
              <w:pStyle w:val="Compact"/>
            </w:pPr>
            <w:r>
              <w:t xml:space="preserve">Minutes</w:t>
            </w:r>
          </w:p>
        </w:tc>
        <w:tc>
          <w:tcPr/>
          <w:p>
            <w:pPr>
              <w:pStyle w:val="Compact"/>
            </w:pPr>
            <w:r>
              <w:t xml:space="preserve">Nul</w:t>
            </w:r>
          </w:p>
        </w:tc>
      </w:tr>
      <w:tr>
        <w:tc>
          <w:tcPr/>
          <w:p>
            <w:pPr>
              <w:pStyle w:val="Compact"/>
            </w:pPr>
            <w:r>
              <w:t xml:space="preserve">Panne serveur applicatif (site dispo)</w:t>
            </w:r>
          </w:p>
        </w:tc>
        <w:tc>
          <w:tcPr/>
          <w:p>
            <w:pPr>
              <w:pStyle w:val="Compact"/>
            </w:pPr>
            <w:r>
              <w:t xml:space="preserve">Selon intervention / &lt; 4 h</w:t>
            </w:r>
          </w:p>
        </w:tc>
        <w:tc>
          <w:tcPr/>
          <w:p>
            <w:pPr>
              <w:pStyle w:val="Compact"/>
            </w:pPr>
            <w:r>
              <w:t xml:space="preserve">Nul</w:t>
            </w:r>
          </w:p>
        </w:tc>
      </w:tr>
      <w:tr>
        <w:tc>
          <w:tcPr/>
          <w:p>
            <w:pPr>
              <w:pStyle w:val="Compact"/>
            </w:pPr>
            <w:r>
              <w:t xml:space="preserve">Perte Salle A → Salle B</w:t>
            </w:r>
          </w:p>
        </w:tc>
        <w:tc>
          <w:tcPr/>
          <w:p>
            <w:pPr>
              <w:pStyle w:val="Compact"/>
            </w:pPr>
            <w:r>
              <w:t xml:space="preserve">≤ 4 h</w:t>
            </w:r>
          </w:p>
        </w:tc>
        <w:tc>
          <w:tcPr/>
          <w:p>
            <w:pPr>
              <w:pStyle w:val="Compact"/>
            </w:pPr>
            <w:r>
              <w:t xml:space="preserve">≤ 24 h (≤ 15 min visé)</w:t>
            </w:r>
          </w:p>
        </w:tc>
      </w:tr>
      <w:tr>
        <w:tc>
          <w:tcPr/>
          <w:p>
            <w:pPr>
              <w:pStyle w:val="Compact"/>
            </w:pPr>
            <w:r>
              <w:t xml:space="preserve">Perte des deux salles</w:t>
            </w:r>
          </w:p>
        </w:tc>
        <w:tc>
          <w:tcPr/>
          <w:p>
            <w:pPr>
              <w:pStyle w:val="Compact"/>
            </w:pPr>
            <w:r>
              <w:t xml:space="preserve">Selon PCA (matériel)</w:t>
            </w:r>
          </w:p>
        </w:tc>
        <w:tc>
          <w:tcPr/>
          <w:p>
            <w:pPr>
              <w:pStyle w:val="Compact"/>
            </w:pPr>
            <w:r>
              <w:t xml:space="preserve">≤ 24 h</w:t>
            </w:r>
          </w:p>
        </w:tc>
      </w:tr>
      <w:tr>
        <w:tc>
          <w:tcPr/>
          <w:p>
            <w:pPr>
              <w:pStyle w:val="Compact"/>
            </w:pPr>
            <w:r>
              <w:t xml:space="preserve">Corruption de données</w:t>
            </w:r>
          </w:p>
        </w:tc>
        <w:tc>
          <w:tcPr/>
          <w:p>
            <w:pPr>
              <w:pStyle w:val="Compact"/>
            </w:pPr>
            <w:r>
              <w:t xml:space="preserve">Court (par organisation)</w:t>
            </w:r>
          </w:p>
        </w:tc>
        <w:tc>
          <w:tcPr/>
          <w:p>
            <w:pPr>
              <w:pStyle w:val="Compact"/>
            </w:pPr>
            <w:r>
              <w:t xml:space="preserve">≤ 24 h</w:t>
            </w:r>
          </w:p>
        </w:tc>
      </w:tr>
    </w:tbl>
    <w:p>
      <w:pPr>
        <w:pStyle w:val="BlockText"/>
      </w:pPr>
      <w:r>
        <w:rPr>
          <w:b/>
          <w:bCs/>
        </w:rPr>
        <w:t xml:space="preserve">Ces objectifs sont ceux de l'architecture cible proposée.</w:t>
      </w:r>
      <w:r>
        <w:t xml:space="preserve"> </w:t>
      </w:r>
      <w:r>
        <w:t xml:space="preserve">Ils seront</w:t>
      </w:r>
      <w:r>
        <w:t xml:space="preserve"> </w:t>
      </w:r>
      <w:r>
        <w:rPr>
          <w:b/>
          <w:bCs/>
        </w:rPr>
        <w:t xml:space="preserve">mesurés et confirmés lors de la recette</w:t>
      </w:r>
      <w:r>
        <w:t xml:space="preserve"> </w:t>
      </w:r>
      <w:r>
        <w:t xml:space="preserve">(T-BASCULE) et pourront être ajustés selon les résultats et les moyens (liaison inter-salles, matériel de secours).</w:t>
      </w:r>
    </w:p>
    <w:p>
      <w:r>
        <w:pict>
          <v:rect style="width:0;height:1.5pt" o:hralign="center" o:hrstd="t" o:hr="t"/>
        </w:pict>
      </w:r>
    </w:p>
    <w:bookmarkEnd w:id="111"/>
    <w:bookmarkEnd w:id="112"/>
    <w:bookmarkStart w:id="116" w:name="X2f5a1a697d4c1c8fe9634558c50a36354f6522c"/>
    <w:p>
      <w:pPr>
        <w:pStyle w:val="Heading2"/>
      </w:pPr>
      <w:r>
        <w:t xml:space="preserve">14. Annexes</w:t>
      </w:r>
    </w:p>
    <w:bookmarkStart w:id="113" w:name="Xd23377173af404aa1eba5db94a998251a2aa49d"/>
    <w:p>
      <w:pPr>
        <w:pStyle w:val="Heading3"/>
      </w:pPr>
      <w:r>
        <w:t xml:space="preserve">Annexe A — Récapitulatif des ports (référence rapide)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Service</w:t>
            </w:r>
          </w:p>
        </w:tc>
        <w:tc>
          <w:tcPr/>
          <w:p>
            <w:pPr>
              <w:pStyle w:val="Compact"/>
            </w:pPr>
            <w:r>
              <w:t xml:space="preserve">Port</w:t>
            </w:r>
          </w:p>
        </w:tc>
        <w:tc>
          <w:tcPr/>
          <w:p>
            <w:pPr>
              <w:pStyle w:val="Compact"/>
            </w:pPr>
            <w:r>
              <w:t xml:space="preserve">Protocole</w:t>
            </w:r>
          </w:p>
        </w:tc>
        <w:tc>
          <w:tcPr/>
          <w:p>
            <w:pPr>
              <w:pStyle w:val="Compact"/>
            </w:pPr>
            <w:r>
              <w:t xml:space="preserve">Exposition</w:t>
            </w:r>
          </w:p>
        </w:tc>
      </w:tr>
      <w:tr>
        <w:tc>
          <w:tcPr/>
          <w:p>
            <w:pPr>
              <w:pStyle w:val="Compact"/>
            </w:pPr>
            <w:r>
              <w:t xml:space="preserve">HTTPS utilisateur</w:t>
            </w:r>
          </w:p>
        </w:tc>
        <w:tc>
          <w:tcPr/>
          <w:p>
            <w:pPr>
              <w:pStyle w:val="Compact"/>
            </w:pPr>
            <w:r>
              <w:t xml:space="preserve">443</w:t>
            </w:r>
          </w:p>
        </w:tc>
        <w:tc>
          <w:tcPr/>
          <w:p>
            <w:pPr>
              <w:pStyle w:val="Compact"/>
            </w:pPr>
            <w:r>
              <w:t xml:space="preserve">TCP</w:t>
            </w:r>
          </w:p>
        </w:tc>
        <w:tc>
          <w:tcPr/>
          <w:p>
            <w:pPr>
              <w:pStyle w:val="Compact"/>
            </w:pPr>
            <w:r>
              <w:t xml:space="preserve">Externe (VIP)</w:t>
            </w:r>
          </w:p>
        </w:tc>
      </w:tr>
      <w:tr>
        <w:tc>
          <w:tcPr/>
          <w:p>
            <w:pPr>
              <w:pStyle w:val="Compact"/>
            </w:pPr>
            <w:r>
              <w:t xml:space="preserve">HTTP (redirection)</w:t>
            </w:r>
          </w:p>
        </w:tc>
        <w:tc>
          <w:tcPr/>
          <w:p>
            <w:pPr>
              <w:pStyle w:val="Compact"/>
            </w:pPr>
            <w:r>
              <w:t xml:space="preserve">80</w:t>
            </w:r>
          </w:p>
        </w:tc>
        <w:tc>
          <w:tcPr/>
          <w:p>
            <w:pPr>
              <w:pStyle w:val="Compact"/>
            </w:pPr>
            <w:r>
              <w:t xml:space="preserve">TCP</w:t>
            </w:r>
          </w:p>
        </w:tc>
        <w:tc>
          <w:tcPr/>
          <w:p>
            <w:pPr>
              <w:pStyle w:val="Compact"/>
            </w:pPr>
            <w:r>
              <w:t xml:space="preserve">Externe (VIP) → 443</w:t>
            </w:r>
          </w:p>
        </w:tc>
      </w:tr>
      <w:tr>
        <w:tc>
          <w:tcPr/>
          <w:p>
            <w:pPr>
              <w:pStyle w:val="Compact"/>
            </w:pPr>
            <w:r>
              <w:t xml:space="preserve">PHP-FPM (app)</w:t>
            </w:r>
          </w:p>
        </w:tc>
        <w:tc>
          <w:tcPr/>
          <w:p>
            <w:pPr>
              <w:pStyle w:val="Compact"/>
            </w:pPr>
            <w:r>
              <w:t xml:space="preserve">9000</w:t>
            </w:r>
          </w:p>
        </w:tc>
        <w:tc>
          <w:tcPr/>
          <w:p>
            <w:pPr>
              <w:pStyle w:val="Compact"/>
            </w:pPr>
            <w:r>
              <w:t xml:space="preserve">TCP</w:t>
            </w:r>
          </w:p>
        </w:tc>
        <w:tc>
          <w:tcPr/>
          <w:p>
            <w:pPr>
              <w:pStyle w:val="Compact"/>
            </w:pPr>
            <w:r>
              <w:t xml:space="preserve">Interne conteneurs</w:t>
            </w:r>
          </w:p>
        </w:tc>
      </w:tr>
      <w:tr>
        <w:tc>
          <w:tcPr/>
          <w:p>
            <w:pPr>
              <w:pStyle w:val="Compact"/>
            </w:pPr>
            <w:r>
              <w:t xml:space="preserve">Frontend</w:t>
            </w:r>
          </w:p>
        </w:tc>
        <w:tc>
          <w:tcPr/>
          <w:p>
            <w:pPr>
              <w:pStyle w:val="Compact"/>
            </w:pPr>
            <w:r>
              <w:t xml:space="preserve">5173</w:t>
            </w:r>
          </w:p>
        </w:tc>
        <w:tc>
          <w:tcPr/>
          <w:p>
            <w:pPr>
              <w:pStyle w:val="Compact"/>
            </w:pPr>
            <w:r>
              <w:t xml:space="preserve">TCP</w:t>
            </w:r>
          </w:p>
        </w:tc>
        <w:tc>
          <w:tcPr/>
          <w:p>
            <w:pPr>
              <w:pStyle w:val="Compact"/>
            </w:pPr>
            <w:r>
              <w:t xml:space="preserve">Interne conteneurs</w:t>
            </w:r>
          </w:p>
        </w:tc>
      </w:tr>
      <w:tr>
        <w:tc>
          <w:tcPr/>
          <w:p>
            <w:pPr>
              <w:pStyle w:val="Compact"/>
            </w:pPr>
            <w:r>
              <w:t xml:space="preserve">Reverb (WebSocket)</w:t>
            </w:r>
          </w:p>
        </w:tc>
        <w:tc>
          <w:tcPr/>
          <w:p>
            <w:pPr>
              <w:pStyle w:val="Compact"/>
            </w:pPr>
            <w:r>
              <w:t xml:space="preserve">8080</w:t>
            </w:r>
          </w:p>
        </w:tc>
        <w:tc>
          <w:tcPr/>
          <w:p>
            <w:pPr>
              <w:pStyle w:val="Compact"/>
            </w:pPr>
            <w:r>
              <w:t xml:space="preserve">TCP</w:t>
            </w:r>
          </w:p>
        </w:tc>
        <w:tc>
          <w:tcPr/>
          <w:p>
            <w:pPr>
              <w:pStyle w:val="Compact"/>
            </w:pPr>
            <w:r>
              <w:t xml:space="preserve">Interne conteneurs</w:t>
            </w:r>
          </w:p>
        </w:tc>
      </w:tr>
      <w:tr>
        <w:tc>
          <w:tcPr/>
          <w:p>
            <w:pPr>
              <w:pStyle w:val="Compact"/>
            </w:pPr>
            <w:r>
              <w:t xml:space="preserve">PostgreSQL</w:t>
            </w:r>
          </w:p>
        </w:tc>
        <w:tc>
          <w:tcPr/>
          <w:p>
            <w:pPr>
              <w:pStyle w:val="Compact"/>
            </w:pPr>
            <w:r>
              <w:t xml:space="preserve">5432</w:t>
            </w:r>
          </w:p>
        </w:tc>
        <w:tc>
          <w:tcPr/>
          <w:p>
            <w:pPr>
              <w:pStyle w:val="Compact"/>
            </w:pPr>
            <w:r>
              <w:t xml:space="preserve">TCP</w:t>
            </w:r>
          </w:p>
        </w:tc>
        <w:tc>
          <w:tcPr/>
          <w:p>
            <w:pPr>
              <w:pStyle w:val="Compact"/>
            </w:pPr>
            <w:r>
              <w:t xml:space="preserve">Interne (127.0.0.1) + réplication inter-salles</w:t>
            </w:r>
          </w:p>
        </w:tc>
      </w:tr>
      <w:tr>
        <w:tc>
          <w:tcPr/>
          <w:p>
            <w:pPr>
              <w:pStyle w:val="Compact"/>
            </w:pPr>
            <w:r>
              <w:t xml:space="preserve">Redis</w:t>
            </w:r>
          </w:p>
        </w:tc>
        <w:tc>
          <w:tcPr/>
          <w:p>
            <w:pPr>
              <w:pStyle w:val="Compact"/>
            </w:pPr>
            <w:r>
              <w:t xml:space="preserve">6379</w:t>
            </w:r>
          </w:p>
        </w:tc>
        <w:tc>
          <w:tcPr/>
          <w:p>
            <w:pPr>
              <w:pStyle w:val="Compact"/>
            </w:pPr>
            <w:r>
              <w:t xml:space="preserve">TCP</w:t>
            </w:r>
          </w:p>
        </w:tc>
        <w:tc>
          <w:tcPr/>
          <w:p>
            <w:pPr>
              <w:pStyle w:val="Compact"/>
            </w:pPr>
            <w:r>
              <w:t xml:space="preserve">Interne (127.0.0.1)</w:t>
            </w:r>
          </w:p>
        </w:tc>
      </w:tr>
      <w:tr>
        <w:tc>
          <w:tcPr/>
          <w:p>
            <w:pPr>
              <w:pStyle w:val="Compact"/>
            </w:pPr>
            <w:r>
              <w:t xml:space="preserve">ClamAV</w:t>
            </w:r>
          </w:p>
        </w:tc>
        <w:tc>
          <w:tcPr/>
          <w:p>
            <w:pPr>
              <w:pStyle w:val="Compact"/>
            </w:pPr>
            <w:r>
              <w:t xml:space="preserve">3310</w:t>
            </w:r>
          </w:p>
        </w:tc>
        <w:tc>
          <w:tcPr/>
          <w:p>
            <w:pPr>
              <w:pStyle w:val="Compact"/>
            </w:pPr>
            <w:r>
              <w:t xml:space="preserve">TCP</w:t>
            </w:r>
          </w:p>
        </w:tc>
        <w:tc>
          <w:tcPr/>
          <w:p>
            <w:pPr>
              <w:pStyle w:val="Compact"/>
            </w:pPr>
            <w:r>
              <w:t xml:space="preserve">Interne conteneurs</w:t>
            </w:r>
          </w:p>
        </w:tc>
      </w:tr>
      <w:tr>
        <w:tc>
          <w:tcPr/>
          <w:p>
            <w:pPr>
              <w:pStyle w:val="Compact"/>
            </w:pPr>
            <w:r>
              <w:t xml:space="preserve">LLM local (serveur vLLM — Qwen 3.6 / Mistral)</w:t>
            </w:r>
          </w:p>
        </w:tc>
        <w:tc>
          <w:tcPr/>
          <w:p>
            <w:pPr>
              <w:pStyle w:val="Compact"/>
            </w:pPr>
            <w:r>
              <w:rPr>
                <w:rStyle w:val="VerbatimChar"/>
              </w:rPr>
              <w:t xml:space="preserve">8000</w:t>
            </w:r>
            <w:r>
              <w:t xml:space="preserve"> </w:t>
            </w:r>
            <w:r>
              <w:rPr>
                <w:rStyle w:val="VerbatimChar"/>
              </w:rPr>
              <w:t xml:space="preserve">[à confirmer]</w:t>
            </w:r>
          </w:p>
        </w:tc>
        <w:tc>
          <w:tcPr/>
          <w:p>
            <w:pPr>
              <w:pStyle w:val="Compact"/>
            </w:pPr>
            <w:r>
              <w:t xml:space="preserve">TCP</w:t>
            </w:r>
          </w:p>
        </w:tc>
        <w:tc>
          <w:tcPr/>
          <w:p>
            <w:pPr>
              <w:pStyle w:val="Compact"/>
            </w:pPr>
            <w:r>
              <w:t xml:space="preserve">Interne</w:t>
            </w:r>
          </w:p>
        </w:tc>
      </w:tr>
      <w:tr>
        <w:tc>
          <w:tcPr/>
          <w:p>
            <w:pPr>
              <w:pStyle w:val="Compact"/>
            </w:pPr>
            <w:r>
              <w:t xml:space="preserve">SSH (admin + synchro)</w:t>
            </w:r>
          </w:p>
        </w:tc>
        <w:tc>
          <w:tcPr/>
          <w:p>
            <w:pPr>
              <w:pStyle w:val="Compact"/>
            </w:pPr>
            <w:r>
              <w:t xml:space="preserve">22</w:t>
            </w:r>
          </w:p>
        </w:tc>
        <w:tc>
          <w:tcPr/>
          <w:p>
            <w:pPr>
              <w:pStyle w:val="Compact"/>
            </w:pPr>
            <w:r>
              <w:t xml:space="preserve">TCP</w:t>
            </w:r>
          </w:p>
        </w:tc>
        <w:tc>
          <w:tcPr/>
          <w:p>
            <w:pPr>
              <w:pStyle w:val="Compact"/>
            </w:pPr>
            <w:r>
              <w:t xml:space="preserve">VLAN admin / inter-salles</w:t>
            </w:r>
          </w:p>
        </w:tc>
      </w:tr>
      <w:tr>
        <w:tc>
          <w:tcPr/>
          <w:p>
            <w:pPr>
              <w:pStyle w:val="Compact"/>
            </w:pPr>
            <w:r>
              <w:t xml:space="preserve">NTP</w:t>
            </w:r>
          </w:p>
        </w:tc>
        <w:tc>
          <w:tcPr/>
          <w:p>
            <w:pPr>
              <w:pStyle w:val="Compact"/>
            </w:pPr>
            <w:r>
              <w:t xml:space="preserve">123</w:t>
            </w:r>
          </w:p>
        </w:tc>
        <w:tc>
          <w:tcPr/>
          <w:p>
            <w:pPr>
              <w:pStyle w:val="Compact"/>
            </w:pPr>
            <w:r>
              <w:t xml:space="preserve">UDP</w:t>
            </w:r>
          </w:p>
        </w:tc>
        <w:tc>
          <w:tcPr/>
          <w:p>
            <w:pPr>
              <w:pStyle w:val="Compact"/>
            </w:pPr>
            <w:r>
              <w:t xml:space="preserve">Interne</w:t>
            </w:r>
          </w:p>
        </w:tc>
      </w:tr>
      <w:tr>
        <w:tc>
          <w:tcPr/>
          <w:p>
            <w:pPr>
              <w:pStyle w:val="Compact"/>
            </w:pPr>
            <w:r>
              <w:t xml:space="preserve">DNS</w:t>
            </w:r>
          </w:p>
        </w:tc>
        <w:tc>
          <w:tcPr/>
          <w:p>
            <w:pPr>
              <w:pStyle w:val="Compact"/>
            </w:pPr>
            <w:r>
              <w:t xml:space="preserve">53</w:t>
            </w:r>
          </w:p>
        </w:tc>
        <w:tc>
          <w:tcPr/>
          <w:p>
            <w:pPr>
              <w:pStyle w:val="Compact"/>
            </w:pPr>
            <w:r>
              <w:t xml:space="preserve">UDP/TCP</w:t>
            </w:r>
          </w:p>
        </w:tc>
        <w:tc>
          <w:tcPr/>
          <w:p>
            <w:pPr>
              <w:pStyle w:val="Compact"/>
            </w:pPr>
            <w:r>
              <w:t xml:space="preserve">Interne</w:t>
            </w:r>
          </w:p>
        </w:tc>
      </w:tr>
    </w:tbl>
    <w:bookmarkEnd w:id="113"/>
    <w:bookmarkStart w:id="114" w:name="X0a63523dbed992b41d2648ba2d0656d18841876"/>
    <w:p>
      <w:pPr>
        <w:pStyle w:val="Heading3"/>
      </w:pPr>
      <w:r>
        <w:t xml:space="preserve">Annexe B — Éléments à renseigner par la DSI du Client</w:t>
      </w:r>
    </w:p>
    <w:p>
      <w:pPr>
        <w:pStyle w:val="Compact"/>
        <w:numPr>
          <w:ilvl w:val="0"/>
          <w:numId w:val="1027"/>
        </w:numPr>
      </w:pPr>
      <w:r>
        <w:t xml:space="preserve">Plan d'adressage IP réel et numéros de VLAN (§8, §10).</w:t>
      </w:r>
    </w:p>
    <w:p>
      <w:pPr>
        <w:pStyle w:val="Compact"/>
        <w:numPr>
          <w:ilvl w:val="0"/>
          <w:numId w:val="1027"/>
        </w:numPr>
      </w:pPr>
      <w:r>
        <w:t xml:space="preserve">Emplacements en baie et affectation onduleurs (§4).</w:t>
      </w:r>
    </w:p>
    <w:p>
      <w:pPr>
        <w:pStyle w:val="Compact"/>
        <w:numPr>
          <w:ilvl w:val="0"/>
          <w:numId w:val="1027"/>
        </w:numPr>
      </w:pPr>
      <w:r>
        <w:t xml:space="preserve">Caractéristiques de la liaison inter-salles Salle A ↔ Salle B (§6, §9).</w:t>
      </w:r>
    </w:p>
    <w:p>
      <w:pPr>
        <w:pStyle w:val="Compact"/>
        <w:numPr>
          <w:ilvl w:val="0"/>
          <w:numId w:val="1027"/>
        </w:numPr>
      </w:pPr>
      <w:r>
        <w:t xml:space="preserve">Politique et PKI internes (certificats TLS) (§11.3).</w:t>
      </w:r>
    </w:p>
    <w:p>
      <w:pPr>
        <w:pStyle w:val="Compact"/>
        <w:numPr>
          <w:ilvl w:val="0"/>
          <w:numId w:val="1027"/>
        </w:numPr>
      </w:pPr>
      <w:r>
        <w:t xml:space="preserve">Volumétrie cible et rétention (§9).</w:t>
      </w:r>
    </w:p>
    <w:p>
      <w:pPr>
        <w:pStyle w:val="Compact"/>
        <w:numPr>
          <w:ilvl w:val="0"/>
          <w:numId w:val="1027"/>
        </w:numPr>
      </w:pPr>
      <w:r>
        <w:t xml:space="preserve">Choix définitif du matériel (documentations fournisseur en annexe) (§5).</w:t>
      </w:r>
    </w:p>
    <w:p>
      <w:pPr>
        <w:pStyle w:val="Compact"/>
        <w:numPr>
          <w:ilvl w:val="0"/>
          <w:numId w:val="1027"/>
        </w:numPr>
      </w:pPr>
      <w:r>
        <w:t xml:space="preserve">Versions exactes des modèles LLM open-weights (Qwen 3.6 ou Mistral) servis par vLLM et confirmation du port (défaut 8000/TCP) (§5.2, §12.2).</w:t>
      </w:r>
    </w:p>
    <w:p>
      <w:pPr>
        <w:pStyle w:val="Compact"/>
        <w:numPr>
          <w:ilvl w:val="0"/>
          <w:numId w:val="1027"/>
        </w:numPr>
      </w:pPr>
      <w:r>
        <w:t xml:space="preserve">Procédure de mise à jour hors-ligne (dépôt local, signatures ClamAV) (§11.5).</w:t>
      </w:r>
    </w:p>
    <w:p>
      <w:pPr>
        <w:pStyle w:val="Compact"/>
        <w:numPr>
          <w:ilvl w:val="0"/>
          <w:numId w:val="1027"/>
        </w:numPr>
      </w:pPr>
      <w:r>
        <w:t xml:space="preserve">Éventuel besoin d'intégration SSO/LDAP (§1.4).</w:t>
      </w:r>
    </w:p>
    <w:bookmarkEnd w:id="114"/>
    <w:bookmarkStart w:id="115" w:name="annexe-c--références-documentaires"/>
    <w:p>
      <w:pPr>
        <w:pStyle w:val="Heading3"/>
      </w:pPr>
      <w:r>
        <w:t xml:space="preserve">Annexe C — Références documentaires</w:t>
      </w:r>
    </w:p>
    <w:p>
      <w:pPr>
        <w:pStyle w:val="Compact"/>
        <w:numPr>
          <w:ilvl w:val="0"/>
          <w:numId w:val="1028"/>
        </w:numPr>
      </w:pPr>
      <w:r>
        <w:rPr>
          <w:rStyle w:val="VerbatimChar"/>
        </w:rPr>
        <w:t xml:space="preserve">02_Dossier_Exploitation.md</w:t>
      </w:r>
      <w:r>
        <w:t xml:space="preserve"> </w:t>
      </w:r>
      <w:r>
        <w:t xml:space="preserve">— exploitation courante.</w:t>
      </w:r>
    </w:p>
    <w:p>
      <w:pPr>
        <w:pStyle w:val="Compact"/>
        <w:numPr>
          <w:ilvl w:val="0"/>
          <w:numId w:val="1028"/>
        </w:numPr>
      </w:pPr>
      <w:r>
        <w:rPr>
          <w:rStyle w:val="VerbatimChar"/>
        </w:rPr>
        <w:t xml:space="preserve">03_Dossier_Qualification_Cahier_Recette.md</w:t>
      </w:r>
      <w:r>
        <w:t xml:space="preserve"> </w:t>
      </w:r>
      <w:r>
        <w:t xml:space="preserve">— recette et validation (dont T-BASCULE).</w:t>
      </w:r>
    </w:p>
    <w:p>
      <w:pPr>
        <w:pStyle w:val="Compact"/>
        <w:numPr>
          <w:ilvl w:val="0"/>
          <w:numId w:val="1028"/>
        </w:numPr>
      </w:pPr>
      <w:r>
        <w:rPr>
          <w:rStyle w:val="VerbatimChar"/>
        </w:rPr>
        <w:t xml:space="preserve">04_Plan_Assurance_Securite.md</w:t>
      </w:r>
      <w:r>
        <w:t xml:space="preserve"> </w:t>
      </w:r>
      <w:r>
        <w:t xml:space="preserve">— plan d'assurance sécurité.</w:t>
      </w:r>
    </w:p>
    <w:p>
      <w:pPr>
        <w:pStyle w:val="Compact"/>
        <w:numPr>
          <w:ilvl w:val="0"/>
          <w:numId w:val="1028"/>
        </w:numPr>
      </w:pPr>
      <w:r>
        <w:t xml:space="preserve">Documentations fournisseur du matériel —</w:t>
      </w:r>
      <w:r>
        <w:t xml:space="preserve"> </w:t>
      </w:r>
      <w:r>
        <w:rPr>
          <w:b/>
          <w:bCs/>
        </w:rPr>
        <w:t xml:space="preserve">jointes en annexe lors du choix définitif du matériel</w:t>
      </w:r>
      <w:r>
        <w:t xml:space="preserve">.</w:t>
      </w:r>
    </w:p>
    <w:p>
      <w:r>
        <w:pict>
          <v:rect style="width:0;height:1.5pt" o:hralign="center" o:hrstd="t" o:hr="t"/>
        </w:pict>
      </w:r>
    </w:p>
    <w:p>
      <w:pPr>
        <w:pStyle w:val="FirstParagraph"/>
      </w:pPr>
      <w:r>
        <w:rPr>
          <w:i/>
          <w:iCs/>
        </w:rPr>
        <w:t xml:space="preserve">Document de travail établi par OHADJA (éditeur/mainteneur) — architecture proposée à valider par la DSI du Client lors de la phase d'implantation et de recette. Les éléments marqués</w:t>
      </w:r>
      <w:r>
        <w:rPr>
          <w:i/>
          <w:iCs/>
        </w:rPr>
        <w:t xml:space="preserve"> </w:t>
      </w:r>
      <w:r>
        <w:rPr>
          <w:rStyle w:val="VerbatimChar"/>
          <w:i/>
          <w:iCs/>
        </w:rPr>
        <w:t xml:space="preserve">[À RENSEIGNER]</w:t>
      </w:r>
      <w:r>
        <w:rPr>
          <w:i/>
          <w:iCs/>
        </w:rPr>
        <w:t xml:space="preserve"> </w:t>
      </w:r>
      <w:r>
        <w:rPr>
          <w:i/>
          <w:iCs/>
        </w:rPr>
        <w:t xml:space="preserve">/</w:t>
      </w:r>
      <w:r>
        <w:rPr>
          <w:i/>
          <w:iCs/>
        </w:rPr>
        <w:t xml:space="preserve"> </w:t>
      </w:r>
      <w:r>
        <w:rPr>
          <w:rStyle w:val="VerbatimChar"/>
          <w:i/>
          <w:iCs/>
        </w:rPr>
        <w:t xml:space="preserve">[À COMPLÉTER]</w:t>
      </w:r>
      <w:r>
        <w:rPr>
          <w:i/>
          <w:iCs/>
        </w:rPr>
        <w:t xml:space="preserve"> </w:t>
      </w:r>
      <w:r>
        <w:rPr>
          <w:i/>
          <w:iCs/>
        </w:rPr>
        <w:t xml:space="preserve">doivent être renseignés conjointement avant réalisation.</w:t>
      </w:r>
    </w:p>
    <w:p>
      <w:r>
        <w:br w:type="page"/>
      </w:r>
    </w:p>
    <w:bookmarkEnd w:id="115"/>
    <w:bookmarkEnd w:id="116"/>
    <w:bookmarkEnd w:id="117"/>
    <w:bookmarkStart w:id="137" w:name="X3f9f0f5dad50fd141cd101451702d523d1c0c33"/>
    <w:p>
      <w:pPr>
        <w:pStyle w:val="Heading1"/>
      </w:pPr>
      <w:r>
        <w:t xml:space="preserve">Dossier d'Exploitation — Déploiement on-premise de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Référence</w:t>
            </w:r>
          </w:p>
        </w:tc>
        <w:tc>
          <w:tcPr/>
          <w:p>
            <w:pPr>
              <w:pStyle w:val="Compact"/>
            </w:pPr>
            <w:r>
              <w:t xml:space="preserve">OHA-ONPREM-EXPL-2026-001</w:t>
            </w:r>
          </w:p>
        </w:tc>
      </w:tr>
      <w:tr>
        <w:tc>
          <w:tcPr/>
          <w:p>
            <w:pPr>
              <w:pStyle w:val="Compact"/>
            </w:pPr>
            <w:r>
              <w:rPr>
                <w:b/>
                <w:bCs/>
              </w:rPr>
              <w:t xml:space="preserve">Version</w:t>
            </w:r>
          </w:p>
        </w:tc>
        <w:tc>
          <w:tcPr/>
          <w:p>
            <w:pPr>
              <w:pStyle w:val="Compact"/>
            </w:pPr>
            <w:r>
              <w:t xml:space="preserve">1.0</w:t>
            </w:r>
          </w:p>
        </w:tc>
      </w:tr>
      <w:tr>
        <w:tc>
          <w:tcPr/>
          <w:p>
            <w:pPr>
              <w:pStyle w:val="Compact"/>
            </w:pPr>
            <w:r>
              <w:rPr>
                <w:b/>
                <w:bCs/>
              </w:rPr>
              <w:t xml:space="preserve">Date</w:t>
            </w:r>
          </w:p>
        </w:tc>
        <w:tc>
          <w:tcPr/>
          <w:p>
            <w:pPr>
              <w:pStyle w:val="Compact"/>
            </w:pPr>
            <w:r>
              <w:t xml:space="preserve">2026-07-24</w:t>
            </w:r>
          </w:p>
        </w:tc>
      </w:tr>
      <w:tr>
        <w:tc>
          <w:tcPr/>
          <w:p>
            <w:pPr>
              <w:pStyle w:val="Compact"/>
            </w:pPr>
            <w:r>
              <w:rPr>
                <w:b/>
                <w:bCs/>
              </w:rPr>
              <w:t xml:space="preserve">Rédacteur / éditeur</w:t>
            </w:r>
          </w:p>
        </w:tc>
        <w:tc>
          <w:tcPr/>
          <w:p>
            <w:pPr>
              <w:pStyle w:val="Compact"/>
            </w:pPr>
            <w:r>
              <w:t xml:space="preserve">OHADJA — éditeur et mainteneur du logiciel TranscribIA — 60 rue François 1er, 75008 Paris</w:t>
            </w:r>
          </w:p>
        </w:tc>
      </w:tr>
      <w:tr>
        <w:tc>
          <w:tcPr/>
          <w:p>
            <w:pPr>
              <w:pStyle w:val="Compact"/>
            </w:pPr>
            <w:r>
              <w:rPr>
                <w:b/>
                <w:bCs/>
              </w:rPr>
              <w:t xml:space="preserve">Intégrateur / distributeur</w:t>
            </w:r>
          </w:p>
        </w:tc>
        <w:tc>
          <w:tcPr/>
          <w:p>
            <w:pPr>
              <w:pStyle w:val="Compact"/>
            </w:pPr>
            <w:r>
              <w:t xml:space="preserve">Votre intégrateur (à préciser selon le projet)</w:t>
            </w:r>
          </w:p>
        </w:tc>
      </w:tr>
      <w:tr>
        <w:tc>
          <w:tcPr/>
          <w:p>
            <w:pPr>
              <w:pStyle w:val="Compact"/>
            </w:pPr>
            <w:r>
              <w:rPr>
                <w:b/>
                <w:bCs/>
              </w:rPr>
              <w:t xml:space="preserve">Revendeur commercial</w:t>
            </w:r>
          </w:p>
        </w:tc>
        <w:tc>
          <w:tcPr/>
          <w:p>
            <w:pPr>
              <w:pStyle w:val="Compact"/>
            </w:pPr>
            <w:r>
              <w:t xml:space="preserve">AMBASSADIA SARL (Monaco et France) — rôle commercial uniquement, sans exploitation ni accès aux données de production</w:t>
            </w:r>
          </w:p>
        </w:tc>
      </w:tr>
      <w:tr>
        <w:tc>
          <w:tcPr/>
          <w:p>
            <w:pPr>
              <w:pStyle w:val="Compact"/>
            </w:pPr>
            <w:r>
              <w:rPr>
                <w:b/>
                <w:bCs/>
              </w:rPr>
              <w:t xml:space="preserve">Destinataire</w:t>
            </w:r>
          </w:p>
        </w:tc>
        <w:tc>
          <w:tcPr/>
          <w:p>
            <w:pPr>
              <w:pStyle w:val="Compact"/>
            </w:pPr>
            <w:r>
              <w:t xml:space="preserve">Client — Direction des Systèmes d'Information (à personnaliser lors du projet)</w:t>
            </w:r>
          </w:p>
        </w:tc>
      </w:tr>
      <w:tr>
        <w:tc>
          <w:tcPr/>
          <w:p>
            <w:pPr>
              <w:pStyle w:val="Compact"/>
            </w:pPr>
            <w:r>
              <w:rPr>
                <w:b/>
                <w:bCs/>
              </w:rPr>
              <w:t xml:space="preserve">Classification</w:t>
            </w:r>
          </w:p>
        </w:tc>
        <w:tc>
          <w:tcPr/>
          <w:p>
            <w:pPr>
              <w:pStyle w:val="Compact"/>
            </w:pPr>
            <w:r>
              <w:t xml:space="preserve">Public — document type, adapté lors de chaque projet d'implantation</w:t>
            </w:r>
          </w:p>
        </w:tc>
      </w:tr>
    </w:tbl>
    <w:p>
      <w:pPr>
        <w:pStyle w:val="BlockText"/>
      </w:pPr>
      <w:r>
        <w:t xml:space="preserve">Ce dossier fournit à la DSI du Client les</w:t>
      </w:r>
      <w:r>
        <w:t xml:space="preserve"> </w:t>
      </w:r>
      <w:r>
        <w:rPr>
          <w:b/>
          <w:bCs/>
        </w:rPr>
        <w:t xml:space="preserve">fiches opérationnelles</w:t>
      </w:r>
      <w:r>
        <w:t xml:space="preserve"> </w:t>
      </w:r>
      <w:r>
        <w:t xml:space="preserve">nécessaires à l'exploitation autonome de la plateforme TranscribIA déployée on-premise (variante isolée, architecture actif Salle A / secours passif Salle B). Les commandes sont données à titre de référence ; les chemins, noms d'hôtes et identifiants propres au site sont signalés par</w:t>
      </w:r>
      <w:r>
        <w:t xml:space="preserve"> </w:t>
      </w:r>
      <w:r>
        <w:rPr>
          <w:rStyle w:val="VerbatimChar"/>
        </w:rPr>
        <w:t xml:space="preserve">[À RENSEIGNER]</w:t>
      </w:r>
      <w:r>
        <w:t xml:space="preserve">. Le déploiement précis des commandes (Makefile, scripts) sera figé à l'implantation.</w:t>
      </w:r>
    </w:p>
    <w:p>
      <w:r>
        <w:pict>
          <v:rect style="width:0;height:1.5pt" o:hralign="center" o:hrstd="t" o:hr="t"/>
        </w:pict>
      </w:r>
    </w:p>
    <w:bookmarkStart w:id="118" w:name="sommaire-des-fiches"/>
    <w:p>
      <w:pPr>
        <w:pStyle w:val="Heading2"/>
      </w:pPr>
      <w:r>
        <w:t xml:space="preserve">Sommaire des fiches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Fiche</w:t>
            </w:r>
          </w:p>
        </w:tc>
        <w:tc>
          <w:tcPr/>
          <w:p>
            <w:pPr>
              <w:pStyle w:val="Compact"/>
            </w:pPr>
            <w:r>
              <w:t xml:space="preserve">Objet</w:t>
            </w:r>
          </w:p>
        </w:tc>
      </w:tr>
      <w:tr>
        <w:tc>
          <w:tcPr/>
          <w:p>
            <w:pPr>
              <w:pStyle w:val="Compact"/>
            </w:pPr>
            <w:r>
              <w:t xml:space="preserve">EXPL-01</w:t>
            </w:r>
          </w:p>
        </w:tc>
        <w:tc>
          <w:tcPr/>
          <w:p>
            <w:pPr>
              <w:pStyle w:val="Compact"/>
            </w:pPr>
            <w:r>
              <w:t xml:space="preserve">Démarrage ordonné de la stack</w:t>
            </w:r>
          </w:p>
        </w:tc>
      </w:tr>
      <w:tr>
        <w:tc>
          <w:tcPr/>
          <w:p>
            <w:pPr>
              <w:pStyle w:val="Compact"/>
            </w:pPr>
            <w:r>
              <w:t xml:space="preserve">EXPL-02</w:t>
            </w:r>
          </w:p>
        </w:tc>
        <w:tc>
          <w:tcPr/>
          <w:p>
            <w:pPr>
              <w:pStyle w:val="Compact"/>
            </w:pPr>
            <w:r>
              <w:t xml:space="preserve">Arrêt ordonné de la stack</w:t>
            </w:r>
          </w:p>
        </w:tc>
      </w:tr>
      <w:tr>
        <w:tc>
          <w:tcPr/>
          <w:p>
            <w:pPr>
              <w:pStyle w:val="Compact"/>
            </w:pPr>
            <w:r>
              <w:t xml:space="preserve">EXPL-03</w:t>
            </w:r>
          </w:p>
        </w:tc>
        <w:tc>
          <w:tcPr/>
          <w:p>
            <w:pPr>
              <w:pStyle w:val="Compact"/>
            </w:pPr>
            <w:r>
              <w:t xml:space="preserve">Vérification de santé (health check)</w:t>
            </w:r>
          </w:p>
        </w:tc>
      </w:tr>
      <w:tr>
        <w:tc>
          <w:tcPr/>
          <w:p>
            <w:pPr>
              <w:pStyle w:val="Compact"/>
            </w:pPr>
            <w:r>
              <w:t xml:space="preserve">EXPL-04</w:t>
            </w:r>
          </w:p>
        </w:tc>
        <w:tc>
          <w:tcPr/>
          <w:p>
            <w:pPr>
              <w:pStyle w:val="Compact"/>
            </w:pPr>
            <w:r>
              <w:t xml:space="preserve">Gestion des comptes et des rôles (RBAC)</w:t>
            </w:r>
          </w:p>
        </w:tc>
      </w:tr>
      <w:tr>
        <w:tc>
          <w:tcPr/>
          <w:p>
            <w:pPr>
              <w:pStyle w:val="Compact"/>
            </w:pPr>
            <w:r>
              <w:t xml:space="preserve">EXPL-05</w:t>
            </w:r>
          </w:p>
        </w:tc>
        <w:tc>
          <w:tcPr/>
          <w:p>
            <w:pPr>
              <w:pStyle w:val="Compact"/>
            </w:pPr>
            <w:r>
              <w:t xml:space="preserve">Création du premier super administrateur</w:t>
            </w:r>
          </w:p>
        </w:tc>
      </w:tr>
      <w:tr>
        <w:tc>
          <w:tcPr/>
          <w:p>
            <w:pPr>
              <w:pStyle w:val="Compact"/>
            </w:pPr>
            <w:r>
              <w:t xml:space="preserve">EXPL-06</w:t>
            </w:r>
          </w:p>
        </w:tc>
        <w:tc>
          <w:tcPr/>
          <w:p>
            <w:pPr>
              <w:pStyle w:val="Compact"/>
            </w:pPr>
            <w:r>
              <w:t xml:space="preserve">Politique 2FA</w:t>
            </w:r>
          </w:p>
        </w:tc>
      </w:tr>
      <w:tr>
        <w:tc>
          <w:tcPr/>
          <w:p>
            <w:pPr>
              <w:pStyle w:val="Compact"/>
            </w:pPr>
            <w:r>
              <w:t xml:space="preserve">EXPL-07</w:t>
            </w:r>
          </w:p>
        </w:tc>
        <w:tc>
          <w:tcPr/>
          <w:p>
            <w:pPr>
              <w:pStyle w:val="Compact"/>
            </w:pPr>
            <w:r>
              <w:t xml:space="preserve">Sauvegarde des configurations en place</w:t>
            </w:r>
          </w:p>
        </w:tc>
      </w:tr>
      <w:tr>
        <w:tc>
          <w:tcPr/>
          <w:p>
            <w:pPr>
              <w:pStyle w:val="Compact"/>
            </w:pPr>
            <w:r>
              <w:t xml:space="preserve">EXPL-08</w:t>
            </w:r>
          </w:p>
        </w:tc>
        <w:tc>
          <w:tcPr/>
          <w:p>
            <w:pPr>
              <w:pStyle w:val="Compact"/>
            </w:pPr>
            <w:r>
              <w:t xml:space="preserve">Sauvegarde des données</w:t>
            </w:r>
          </w:p>
        </w:tc>
      </w:tr>
      <w:tr>
        <w:tc>
          <w:tcPr/>
          <w:p>
            <w:pPr>
              <w:pStyle w:val="Compact"/>
            </w:pPr>
            <w:r>
              <w:t xml:space="preserve">EXPL-09</w:t>
            </w:r>
          </w:p>
        </w:tc>
        <w:tc>
          <w:tcPr/>
          <w:p>
            <w:pPr>
              <w:pStyle w:val="Compact"/>
            </w:pPr>
            <w:r>
              <w:t xml:space="preserve">Restauration des données</w:t>
            </w:r>
          </w:p>
        </w:tc>
      </w:tr>
      <w:tr>
        <w:tc>
          <w:tcPr/>
          <w:p>
            <w:pPr>
              <w:pStyle w:val="Compact"/>
            </w:pPr>
            <w:r>
              <w:t xml:space="preserve">EXPL-10</w:t>
            </w:r>
          </w:p>
        </w:tc>
        <w:tc>
          <w:tcPr/>
          <w:p>
            <w:pPr>
              <w:pStyle w:val="Compact"/>
            </w:pPr>
            <w:r>
              <w:t xml:space="preserve">Mise à jour applicative et rollback</w:t>
            </w:r>
          </w:p>
        </w:tc>
      </w:tr>
      <w:tr>
        <w:tc>
          <w:tcPr/>
          <w:p>
            <w:pPr>
              <w:pStyle w:val="Compact"/>
            </w:pPr>
            <w:r>
              <w:t xml:space="preserve">EXPL-11</w:t>
            </w:r>
          </w:p>
        </w:tc>
        <w:tc>
          <w:tcPr/>
          <w:p>
            <w:pPr>
              <w:pStyle w:val="Compact"/>
            </w:pPr>
            <w:r>
              <w:t xml:space="preserve">Renouvellement des certificats TLS</w:t>
            </w:r>
          </w:p>
        </w:tc>
      </w:tr>
      <w:tr>
        <w:tc>
          <w:tcPr/>
          <w:p>
            <w:pPr>
              <w:pStyle w:val="Compact"/>
            </w:pPr>
            <w:r>
              <w:t xml:space="preserve">EXPL-12</w:t>
            </w:r>
          </w:p>
        </w:tc>
        <w:tc>
          <w:tcPr/>
          <w:p>
            <w:pPr>
              <w:pStyle w:val="Compact"/>
            </w:pPr>
            <w:r>
              <w:t xml:space="preserve">Supervision et alertes</w:t>
            </w:r>
          </w:p>
        </w:tc>
      </w:tr>
      <w:tr>
        <w:tc>
          <w:tcPr/>
          <w:p>
            <w:pPr>
              <w:pStyle w:val="Compact"/>
            </w:pPr>
            <w:r>
              <w:t xml:space="preserve">EXPL-13</w:t>
            </w:r>
          </w:p>
        </w:tc>
        <w:tc>
          <w:tcPr/>
          <w:p>
            <w:pPr>
              <w:pStyle w:val="Compact"/>
            </w:pPr>
            <w:r>
              <w:t xml:space="preserve">Antivirus — signatures en environnement isolé</w:t>
            </w:r>
          </w:p>
        </w:tc>
      </w:tr>
      <w:tr>
        <w:tc>
          <w:tcPr/>
          <w:p>
            <w:pPr>
              <w:pStyle w:val="Compact"/>
            </w:pPr>
            <w:r>
              <w:t xml:space="preserve">EXPL-14</w:t>
            </w:r>
          </w:p>
        </w:tc>
        <w:tc>
          <w:tcPr/>
          <w:p>
            <w:pPr>
              <w:pStyle w:val="Compact"/>
            </w:pPr>
            <w:r>
              <w:t xml:space="preserve">Consultation des journaux et exports d'audit</w:t>
            </w:r>
          </w:p>
        </w:tc>
      </w:tr>
      <w:tr>
        <w:tc>
          <w:tcPr/>
          <w:p>
            <w:pPr>
              <w:pStyle w:val="Compact"/>
            </w:pPr>
            <w:r>
              <w:t xml:space="preserve">EXPL-15</w:t>
            </w:r>
          </w:p>
        </w:tc>
        <w:tc>
          <w:tcPr/>
          <w:p>
            <w:pPr>
              <w:pStyle w:val="Compact"/>
            </w:pPr>
            <w:r>
              <w:t xml:space="preserve">Gestion d'un incident</w:t>
            </w:r>
          </w:p>
        </w:tc>
      </w:tr>
      <w:tr>
        <w:tc>
          <w:tcPr/>
          <w:p>
            <w:pPr>
              <w:pStyle w:val="Compact"/>
            </w:pPr>
            <w:r>
              <w:t xml:space="preserve">EXPL-16</w:t>
            </w:r>
          </w:p>
        </w:tc>
        <w:tc>
          <w:tcPr/>
          <w:p>
            <w:pPr>
              <w:pStyle w:val="Compact"/>
            </w:pPr>
            <w:r>
              <w:t xml:space="preserve">Modalités d'accès au support</w:t>
            </w:r>
          </w:p>
        </w:tc>
      </w:tr>
      <w:tr>
        <w:tc>
          <w:tcPr/>
          <w:p>
            <w:pPr>
              <w:pStyle w:val="Compact"/>
            </w:pPr>
            <w:r>
              <w:t xml:space="preserve">EXPL-17</w:t>
            </w:r>
          </w:p>
        </w:tc>
        <w:tc>
          <w:tcPr/>
          <w:p>
            <w:pPr>
              <w:pStyle w:val="Compact"/>
            </w:pPr>
            <w:r>
              <w:t xml:space="preserve">Rappel des engagements de niveaux de service</w:t>
            </w:r>
          </w:p>
        </w:tc>
      </w:tr>
    </w:tbl>
    <w:p>
      <w:r>
        <w:pict>
          <v:rect style="width:0;height:1.5pt" o:hralign="center" o:hrstd="t" o:hr="t"/>
        </w:pict>
      </w:r>
    </w:p>
    <w:bookmarkEnd w:id="118"/>
    <w:bookmarkStart w:id="119" w:name="expl-01--démarrage-ordonné-de-la-stack"/>
    <w:p>
      <w:pPr>
        <w:pStyle w:val="Heading2"/>
      </w:pPr>
      <w:r>
        <w:t xml:space="preserve">EXPL-01 — Démarrage ordonné de la stack</w:t>
      </w:r>
    </w:p>
    <w:p>
      <w:pPr>
        <w:pStyle w:val="FirstParagraph"/>
      </w:pPr>
      <w:r>
        <w:rPr>
          <w:b/>
          <w:bCs/>
        </w:rPr>
        <w:t xml:space="preserve">Objectif :</w:t>
      </w:r>
      <w:r>
        <w:t xml:space="preserve"> </w:t>
      </w:r>
      <w:r>
        <w:t xml:space="preserve">démarrer la plateforme dans le bon ordre pour éviter les erreurs de dépendance.</w:t>
      </w:r>
    </w:p>
    <w:p>
      <w:pPr>
        <w:pStyle w:val="BodyText"/>
      </w:pPr>
      <w:r>
        <w:rPr>
          <w:b/>
          <w:bCs/>
        </w:rPr>
        <w:t xml:space="preserve">Ordre de démarrage :</w:t>
      </w:r>
    </w:p>
    <w:p>
      <w:pPr>
        <w:pStyle w:val="Compact"/>
        <w:numPr>
          <w:ilvl w:val="0"/>
          <w:numId w:val="1029"/>
        </w:numPr>
      </w:pPr>
      <w:r>
        <w:rPr>
          <w:b/>
          <w:bCs/>
        </w:rPr>
        <w:t xml:space="preserve">postgres</w:t>
      </w:r>
      <w:r>
        <w:t xml:space="preserve"> </w:t>
      </w:r>
      <w:r>
        <w:t xml:space="preserve">puis</w:t>
      </w:r>
      <w:r>
        <w:t xml:space="preserve"> </w:t>
      </w:r>
      <w:r>
        <w:rPr>
          <w:b/>
          <w:bCs/>
        </w:rPr>
        <w:t xml:space="preserve">redis</w:t>
      </w:r>
      <w:r>
        <w:t xml:space="preserve"> </w:t>
      </w:r>
      <w:r>
        <w:t xml:space="preserve">— services de données ; attendre l'état</w:t>
      </w:r>
      <w:r>
        <w:t xml:space="preserve"> </w:t>
      </w:r>
      <w:r>
        <w:rPr>
          <w:rStyle w:val="VerbatimChar"/>
        </w:rPr>
        <w:t xml:space="preserve">healthy</w:t>
      </w:r>
      <w:r>
        <w:t xml:space="preserve"> </w:t>
      </w:r>
      <w:r>
        <w:t xml:space="preserve">(sondes</w:t>
      </w:r>
      <w:r>
        <w:t xml:space="preserve"> </w:t>
      </w:r>
      <w:r>
        <w:rPr>
          <w:rStyle w:val="VerbatimChar"/>
        </w:rPr>
        <w:t xml:space="preserve">pg_isready</w:t>
      </w:r>
      <w:r>
        <w:t xml:space="preserve"> </w:t>
      </w:r>
      <w:r>
        <w:t xml:space="preserve">/</w:t>
      </w:r>
      <w:r>
        <w:t xml:space="preserve"> </w:t>
      </w:r>
      <w:r>
        <w:rPr>
          <w:rStyle w:val="VerbatimChar"/>
        </w:rPr>
        <w:t xml:space="preserve">redis-cli ping</w:t>
      </w:r>
      <w:r>
        <w:t xml:space="preserve">).</w:t>
      </w:r>
    </w:p>
    <w:p>
      <w:pPr>
        <w:pStyle w:val="Compact"/>
        <w:numPr>
          <w:ilvl w:val="0"/>
          <w:numId w:val="1029"/>
        </w:numPr>
      </w:pPr>
      <w:r>
        <w:rPr>
          <w:b/>
          <w:bCs/>
        </w:rPr>
        <w:t xml:space="preserve">app</w:t>
      </w:r>
      <w:r>
        <w:t xml:space="preserve"> </w:t>
      </w:r>
      <w:r>
        <w:t xml:space="preserve">(PHP-FPM) — dépend de postgres et redis sains.</w:t>
      </w:r>
    </w:p>
    <w:p>
      <w:pPr>
        <w:pStyle w:val="Compact"/>
        <w:numPr>
          <w:ilvl w:val="0"/>
          <w:numId w:val="1029"/>
        </w:numPr>
      </w:pPr>
      <w:r>
        <w:rPr>
          <w:b/>
          <w:bCs/>
        </w:rPr>
        <w:t xml:space="preserve">reverb</w:t>
      </w:r>
      <w:r>
        <w:t xml:space="preserve"> </w:t>
      </w:r>
      <w:r>
        <w:t xml:space="preserve">(WebSocket),</w:t>
      </w:r>
      <w:r>
        <w:t xml:space="preserve"> </w:t>
      </w:r>
      <w:r>
        <w:rPr>
          <w:b/>
          <w:bCs/>
        </w:rPr>
        <w:t xml:space="preserve">queue</w:t>
      </w:r>
      <w:r>
        <w:t xml:space="preserve">,</w:t>
      </w:r>
      <w:r>
        <w:t xml:space="preserve"> </w:t>
      </w:r>
      <w:r>
        <w:rPr>
          <w:b/>
          <w:bCs/>
        </w:rPr>
        <w:t xml:space="preserve">queue-ai</w:t>
      </w:r>
      <w:r>
        <w:t xml:space="preserve">,</w:t>
      </w:r>
      <w:r>
        <w:t xml:space="preserve"> </w:t>
      </w:r>
      <w:r>
        <w:rPr>
          <w:b/>
          <w:bCs/>
        </w:rPr>
        <w:t xml:space="preserve">queue-media</w:t>
      </w:r>
      <w:r>
        <w:t xml:space="preserve">,</w:t>
      </w:r>
      <w:r>
        <w:t xml:space="preserve"> </w:t>
      </w:r>
      <w:r>
        <w:rPr>
          <w:b/>
          <w:bCs/>
        </w:rPr>
        <w:t xml:space="preserve">scheduler</w:t>
      </w:r>
      <w:r>
        <w:t xml:space="preserve"> </w:t>
      </w:r>
      <w:r>
        <w:t xml:space="preserve">— dépendent de app.</w:t>
      </w:r>
    </w:p>
    <w:p>
      <w:pPr>
        <w:pStyle w:val="Compact"/>
        <w:numPr>
          <w:ilvl w:val="0"/>
          <w:numId w:val="1029"/>
        </w:numPr>
      </w:pPr>
      <w:r>
        <w:rPr>
          <w:b/>
          <w:bCs/>
        </w:rPr>
        <w:t xml:space="preserve">frontend</w:t>
      </w:r>
      <w:r>
        <w:t xml:space="preserve"> </w:t>
      </w:r>
      <w:r>
        <w:t xml:space="preserve">— build statique.</w:t>
      </w:r>
    </w:p>
    <w:p>
      <w:pPr>
        <w:pStyle w:val="Compact"/>
        <w:numPr>
          <w:ilvl w:val="0"/>
          <w:numId w:val="1029"/>
        </w:numPr>
      </w:pPr>
      <w:r>
        <w:rPr>
          <w:b/>
          <w:bCs/>
        </w:rPr>
        <w:t xml:space="preserve">nginx</w:t>
      </w:r>
      <w:r>
        <w:t xml:space="preserve"> </w:t>
      </w:r>
      <w:r>
        <w:t xml:space="preserve">— dernier, car il dépend de app et frontend.</w:t>
      </w:r>
    </w:p>
    <w:p>
      <w:pPr>
        <w:pStyle w:val="Compact"/>
        <w:numPr>
          <w:ilvl w:val="0"/>
          <w:numId w:val="1029"/>
        </w:numPr>
      </w:pPr>
      <w:r>
        <w:rPr>
          <w:b/>
          <w:bCs/>
        </w:rPr>
        <w:t xml:space="preserve">clamav</w:t>
      </w:r>
      <w:r>
        <w:t xml:space="preserve"> </w:t>
      </w:r>
      <w:r>
        <w:t xml:space="preserve">(sidecar) — disponible pour l'analyse des uploads.</w:t>
      </w:r>
    </w:p>
    <w:p>
      <w:pPr>
        <w:pStyle w:val="Compact"/>
        <w:numPr>
          <w:ilvl w:val="0"/>
          <w:numId w:val="1029"/>
        </w:numPr>
      </w:pPr>
      <w:r>
        <w:rPr>
          <w:b/>
          <w:bCs/>
        </w:rPr>
        <w:t xml:space="preserve">Serveur GPU</w:t>
      </w:r>
      <w:r>
        <w:t xml:space="preserve"> </w:t>
      </w:r>
      <w:r>
        <w:t xml:space="preserve">(transcription + LLM local) — démarré une fois l'API app disponible.</w:t>
      </w:r>
    </w:p>
    <w:p>
      <w:pPr>
        <w:pStyle w:val="FirstParagraph"/>
      </w:pPr>
      <w:r>
        <w:rPr>
          <w:b/>
          <w:bCs/>
        </w:rPr>
        <w:t xml:space="preserve">Commande de référence (Docker Compose) :</w:t>
      </w:r>
    </w:p>
    <w:p>
      <w:pPr>
        <w:pStyle w:val="SourceCode"/>
      </w:pPr>
      <w:r>
        <w:rPr>
          <w:rStyle w:val="BuiltInTok"/>
        </w:rPr>
        <w:t xml:space="preserve">cd</w:t>
      </w:r>
      <w:r>
        <w:rPr>
          <w:rStyle w:val="NormalTok"/>
        </w:rPr>
        <w:t xml:space="preserve"> [À RENSEIGNER : répertoire d</w:t>
      </w:r>
      <w:r>
        <w:rPr>
          <w:rStyle w:val="StringTok"/>
        </w:rPr>
        <w:t xml:space="preserve">'installation, ex. /opt/transcribia]</w:t>
      </w:r>
      <w:r>
        <w:br/>
      </w:r>
      <w:r>
        <w:rPr>
          <w:rStyle w:val="StringTok"/>
        </w:rPr>
        <w:t xml:space="preserve">docker compose up -d</w:t>
      </w:r>
      <w:r>
        <w:br/>
      </w:r>
      <w:r>
        <w:rPr>
          <w:rStyle w:val="StringTok"/>
        </w:rPr>
        <w:t xml:space="preserve"># Docker Compose respecte les dépendances (depends_on + healthcheck)</w:t>
      </w:r>
    </w:p>
    <w:p>
      <w:pPr>
        <w:pStyle w:val="FirstParagraph"/>
      </w:pPr>
      <w:r>
        <w:rPr>
          <w:b/>
          <w:bCs/>
        </w:rPr>
        <w:t xml:space="preserve">Vérification :</w:t>
      </w:r>
      <w:r>
        <w:t xml:space="preserve"> </w:t>
      </w:r>
      <w:r>
        <w:t xml:space="preserve">enchaîner sur la fiche EXPL-03.</w:t>
      </w:r>
    </w:p>
    <w:p>
      <w:pPr>
        <w:pStyle w:val="BlockText"/>
      </w:pPr>
      <w:r>
        <w:rPr>
          <w:b/>
          <w:bCs/>
        </w:rPr>
        <w:t xml:space="preserve">Piège nginx (à connaître).</w:t>
      </w:r>
      <w:r>
        <w:t xml:space="preserve"> </w:t>
      </w:r>
      <w:r>
        <w:t xml:space="preserve">Si le conteneur</w:t>
      </w:r>
      <w:r>
        <w:t xml:space="preserve"> </w:t>
      </w:r>
      <w:r>
        <w:rPr>
          <w:b/>
          <w:bCs/>
        </w:rPr>
        <w:t xml:space="preserve">app</w:t>
      </w:r>
      <w:r>
        <w:t xml:space="preserve"> </w:t>
      </w:r>
      <w:r>
        <w:t xml:space="preserve">est redémarré seul, nginx conserve d'anciennes connexions mortes vers</w:t>
      </w:r>
      <w:r>
        <w:t xml:space="preserve"> </w:t>
      </w:r>
      <w:r>
        <w:rPr>
          <w:rStyle w:val="VerbatimChar"/>
        </w:rPr>
        <w:t xml:space="preserve">app:9000</w:t>
      </w:r>
      <w:r>
        <w:t xml:space="preserve"> </w:t>
      </w:r>
      <w:r>
        <w:t xml:space="preserve">et renvoie des</w:t>
      </w:r>
      <w:r>
        <w:t xml:space="preserve"> </w:t>
      </w:r>
      <w:r>
        <w:rPr>
          <w:b/>
          <w:bCs/>
        </w:rPr>
        <w:t xml:space="preserve">502 Bad Gateway</w:t>
      </w:r>
      <w:r>
        <w:t xml:space="preserve">. Règle :</w:t>
      </w:r>
      <w:r>
        <w:t xml:space="preserve"> </w:t>
      </w:r>
      <w:r>
        <w:rPr>
          <w:b/>
          <w:bCs/>
        </w:rPr>
        <w:t xml:space="preserve">toujours redémarrer nginx après app</w:t>
      </w:r>
      <w:r>
        <w:t xml:space="preserve"> </w:t>
      </w:r>
      <w:r>
        <w:t xml:space="preserve">(voir EXPL-10).</w:t>
      </w:r>
    </w:p>
    <w:p>
      <w:r>
        <w:pict>
          <v:rect style="width:0;height:1.5pt" o:hralign="center" o:hrstd="t" o:hr="t"/>
        </w:pict>
      </w:r>
    </w:p>
    <w:bookmarkEnd w:id="119"/>
    <w:bookmarkStart w:id="120" w:name="expl-02--arrêt-ordonné-de-la-stack"/>
    <w:p>
      <w:pPr>
        <w:pStyle w:val="Heading2"/>
      </w:pPr>
      <w:r>
        <w:t xml:space="preserve">EXPL-02 — Arrêt ordonné de la stack</w:t>
      </w:r>
    </w:p>
    <w:p>
      <w:pPr>
        <w:pStyle w:val="FirstParagraph"/>
      </w:pPr>
      <w:r>
        <w:rPr>
          <w:b/>
          <w:bCs/>
        </w:rPr>
        <w:t xml:space="preserve">Objectif :</w:t>
      </w:r>
      <w:r>
        <w:t xml:space="preserve"> </w:t>
      </w:r>
      <w:r>
        <w:t xml:space="preserve">arrêter proprement sans perdre de traitement en cours.</w:t>
      </w:r>
    </w:p>
    <w:p>
      <w:pPr>
        <w:pStyle w:val="BodyText"/>
      </w:pPr>
      <w:r>
        <w:rPr>
          <w:b/>
          <w:bCs/>
        </w:rPr>
        <w:t xml:space="preserve">Ordre d'arrêt (inverse du démarrage) :</w:t>
      </w:r>
    </w:p>
    <w:p>
      <w:pPr>
        <w:pStyle w:val="Compact"/>
        <w:numPr>
          <w:ilvl w:val="0"/>
          <w:numId w:val="1030"/>
        </w:numPr>
      </w:pPr>
      <w:r>
        <w:t xml:space="preserve">Cesser d'accepter de nouveaux traitements : arrêter</w:t>
      </w:r>
      <w:r>
        <w:t xml:space="preserve"> </w:t>
      </w:r>
      <w:r>
        <w:rPr>
          <w:b/>
          <w:bCs/>
        </w:rPr>
        <w:t xml:space="preserve">nginx</w:t>
      </w:r>
      <w:r>
        <w:t xml:space="preserve"> </w:t>
      </w:r>
      <w:r>
        <w:t xml:space="preserve">(plus d'entrée utilisateur) puis le</w:t>
      </w:r>
      <w:r>
        <w:t xml:space="preserve"> </w:t>
      </w:r>
      <w:r>
        <w:rPr>
          <w:b/>
          <w:bCs/>
        </w:rPr>
        <w:t xml:space="preserve">serveur GPU</w:t>
      </w:r>
      <w:r>
        <w:t xml:space="preserve">.</w:t>
      </w:r>
    </w:p>
    <w:p>
      <w:pPr>
        <w:pStyle w:val="Compact"/>
        <w:numPr>
          <w:ilvl w:val="0"/>
          <w:numId w:val="1030"/>
        </w:numPr>
      </w:pPr>
      <w:r>
        <w:t xml:space="preserve">Laisser les</w:t>
      </w:r>
      <w:r>
        <w:t xml:space="preserve"> </w:t>
      </w:r>
      <w:r>
        <w:rPr>
          <w:b/>
          <w:bCs/>
        </w:rPr>
        <w:t xml:space="preserve">workers</w:t>
      </w:r>
      <w:r>
        <w:t xml:space="preserve"> </w:t>
      </w:r>
      <w:r>
        <w:t xml:space="preserve">(queue, queue-ai, queue-media) terminer les jobs en cours, puis les arrêter ; arrêter</w:t>
      </w:r>
      <w:r>
        <w:t xml:space="preserve"> </w:t>
      </w:r>
      <w:r>
        <w:rPr>
          <w:b/>
          <w:bCs/>
        </w:rPr>
        <w:t xml:space="preserve">scheduler</w:t>
      </w:r>
      <w:r>
        <w:t xml:space="preserve"> </w:t>
      </w:r>
      <w:r>
        <w:t xml:space="preserve">et</w:t>
      </w:r>
      <w:r>
        <w:t xml:space="preserve"> </w:t>
      </w:r>
      <w:r>
        <w:rPr>
          <w:b/>
          <w:bCs/>
        </w:rPr>
        <w:t xml:space="preserve">reverb</w:t>
      </w:r>
      <w:r>
        <w:t xml:space="preserve">.</w:t>
      </w:r>
    </w:p>
    <w:p>
      <w:pPr>
        <w:pStyle w:val="Compact"/>
        <w:numPr>
          <w:ilvl w:val="0"/>
          <w:numId w:val="1030"/>
        </w:numPr>
      </w:pPr>
      <w:r>
        <w:t xml:space="preserve">Arrêter</w:t>
      </w:r>
      <w:r>
        <w:t xml:space="preserve"> </w:t>
      </w:r>
      <w:r>
        <w:rPr>
          <w:b/>
          <w:bCs/>
        </w:rPr>
        <w:t xml:space="preserve">app</w:t>
      </w:r>
      <w:r>
        <w:t xml:space="preserve"> </w:t>
      </w:r>
      <w:r>
        <w:t xml:space="preserve">et</w:t>
      </w:r>
      <w:r>
        <w:t xml:space="preserve"> </w:t>
      </w:r>
      <w:r>
        <w:rPr>
          <w:b/>
          <w:bCs/>
        </w:rPr>
        <w:t xml:space="preserve">frontend</w:t>
      </w:r>
      <w:r>
        <w:t xml:space="preserve">.</w:t>
      </w:r>
    </w:p>
    <w:p>
      <w:pPr>
        <w:pStyle w:val="Compact"/>
        <w:numPr>
          <w:ilvl w:val="0"/>
          <w:numId w:val="1030"/>
        </w:numPr>
      </w:pPr>
      <w:r>
        <w:t xml:space="preserve">Arrêter</w:t>
      </w:r>
      <w:r>
        <w:t xml:space="preserve"> </w:t>
      </w:r>
      <w:r>
        <w:rPr>
          <w:b/>
          <w:bCs/>
        </w:rPr>
        <w:t xml:space="preserve">redis</w:t>
      </w:r>
      <w:r>
        <w:t xml:space="preserve"> </w:t>
      </w:r>
      <w:r>
        <w:t xml:space="preserve">puis</w:t>
      </w:r>
      <w:r>
        <w:t xml:space="preserve"> </w:t>
      </w:r>
      <w:r>
        <w:rPr>
          <w:b/>
          <w:bCs/>
        </w:rPr>
        <w:t xml:space="preserve">postgres</w:t>
      </w:r>
      <w:r>
        <w:t xml:space="preserve"> </w:t>
      </w:r>
      <w:r>
        <w:t xml:space="preserve">en dernier.</w:t>
      </w:r>
    </w:p>
    <w:p>
      <w:pPr>
        <w:pStyle w:val="FirstParagraph"/>
      </w:pPr>
      <w:r>
        <w:rPr>
          <w:b/>
          <w:bCs/>
        </w:rPr>
        <w:t xml:space="preserve">Commande de référence :</w:t>
      </w:r>
    </w:p>
    <w:p>
      <w:pPr>
        <w:pStyle w:val="SourceCode"/>
      </w:pPr>
      <w:r>
        <w:rPr>
          <w:rStyle w:val="BuiltInTok"/>
        </w:rPr>
        <w:t xml:space="preserve">cd</w:t>
      </w:r>
      <w:r>
        <w:rPr>
          <w:rStyle w:val="NormalTok"/>
        </w:rPr>
        <w:t xml:space="preserve"> [À RENSEIGNER]</w:t>
      </w:r>
      <w:r>
        <w:br/>
      </w:r>
      <w:r>
        <w:rPr>
          <w:rStyle w:val="ExtensionTok"/>
        </w:rPr>
        <w:t xml:space="preserve">docker</w:t>
      </w:r>
      <w:r>
        <w:rPr>
          <w:rStyle w:val="NormalTok"/>
        </w:rPr>
        <w:t xml:space="preserve"> compose down          </w:t>
      </w:r>
      <w:r>
        <w:rPr>
          <w:rStyle w:val="CommentTok"/>
        </w:rPr>
        <w:t xml:space="preserve"># arrêt complet</w:t>
      </w:r>
      <w:r>
        <w:br/>
      </w:r>
      <w:r>
        <w:rPr>
          <w:rStyle w:val="CommentTok"/>
        </w:rPr>
        <w:t xml:space="preserve"># ou, pour un service : docker compose stop &lt;service&gt;</w:t>
      </w:r>
    </w:p>
    <w:p>
      <w:pPr>
        <w:pStyle w:val="FirstParagraph"/>
      </w:pPr>
      <w:r>
        <w:rPr>
          <w:b/>
          <w:bCs/>
        </w:rPr>
        <w:t xml:space="preserve">Recommandation :</w:t>
      </w:r>
      <w:r>
        <w:t xml:space="preserve"> </w:t>
      </w:r>
      <w:r>
        <w:t xml:space="preserve">pour une maintenance, privilégier une</w:t>
      </w:r>
      <w:r>
        <w:t xml:space="preserve"> </w:t>
      </w:r>
      <w:r>
        <w:rPr>
          <w:b/>
          <w:bCs/>
        </w:rPr>
        <w:t xml:space="preserve">fenêtre planifiée</w:t>
      </w:r>
      <w:r>
        <w:t xml:space="preserve"> </w:t>
      </w:r>
      <w:r>
        <w:t xml:space="preserve">et vérifier l'absence de jobs en cours (</w:t>
      </w:r>
      <w:r>
        <w:rPr>
          <w:rStyle w:val="VerbatimChar"/>
        </w:rPr>
        <w:t xml:space="preserve">docker compose logs queue queue-ai queue-media</w:t>
      </w:r>
      <w:r>
        <w:t xml:space="preserve">) avant l'arrêt.</w:t>
      </w:r>
    </w:p>
    <w:p>
      <w:r>
        <w:pict>
          <v:rect style="width:0;height:1.5pt" o:hralign="center" o:hrstd="t" o:hr="t"/>
        </w:pict>
      </w:r>
    </w:p>
    <w:bookmarkEnd w:id="120"/>
    <w:bookmarkStart w:id="121" w:name="Xb9501f1deee534c701f8da2afb8f04d315baeae"/>
    <w:p>
      <w:pPr>
        <w:pStyle w:val="Heading2"/>
      </w:pPr>
      <w:r>
        <w:t xml:space="preserve">EXPL-03 — Vérification de santé (health check)</w:t>
      </w:r>
    </w:p>
    <w:p>
      <w:pPr>
        <w:pStyle w:val="FirstParagraph"/>
      </w:pPr>
      <w:r>
        <w:rPr>
          <w:b/>
          <w:bCs/>
        </w:rPr>
        <w:t xml:space="preserve">Objectif :</w:t>
      </w:r>
      <w:r>
        <w:t xml:space="preserve"> </w:t>
      </w:r>
      <w:r>
        <w:t xml:space="preserve">confirmer que la plateforme est opérationnelle.</w:t>
      </w:r>
    </w:p>
    <w:p>
      <w:pPr>
        <w:pStyle w:val="BodyText"/>
      </w:pPr>
      <w:r>
        <w:rPr>
          <w:b/>
          <w:bCs/>
        </w:rPr>
        <w:t xml:space="preserve">Contrôles :</w:t>
      </w:r>
    </w:p>
    <w:p>
      <w:pPr>
        <w:numPr>
          <w:ilvl w:val="0"/>
          <w:numId w:val="1031"/>
        </w:numPr>
      </w:pPr>
      <w:r>
        <w:rPr>
          <w:b/>
          <w:bCs/>
        </w:rPr>
        <w:t xml:space="preserve">Endpoint applicatif :</w:t>
      </w:r>
    </w:p>
    <w:p>
      <w:pPr>
        <w:pStyle w:val="SourceCode"/>
        <w:numPr>
          <w:ilvl w:val="0"/>
          <w:numId w:val="1000"/>
        </w:numPr>
      </w:pPr>
      <w:r>
        <w:rPr>
          <w:rStyle w:val="ExtensionTok"/>
        </w:rPr>
        <w:t xml:space="preserve">curl</w:t>
      </w:r>
      <w:r>
        <w:rPr>
          <w:rStyle w:val="NormalTok"/>
        </w:rPr>
        <w:t xml:space="preserve"> </w:t>
      </w:r>
      <w:r>
        <w:rPr>
          <w:rStyle w:val="AttributeTok"/>
        </w:rPr>
        <w:t xml:space="preserve">-k</w:t>
      </w:r>
      <w:r>
        <w:rPr>
          <w:rStyle w:val="NormalTok"/>
        </w:rPr>
        <w:t xml:space="preserve"> https://[VIP/nom de service]/up</w:t>
      </w:r>
      <w:r>
        <w:br/>
      </w:r>
      <w:r>
        <w:rPr>
          <w:rStyle w:val="CommentTok"/>
        </w:rPr>
        <w:t xml:space="preserve"># ou l'endpoint de santé applicatif exposé par l'API</w:t>
      </w:r>
    </w:p>
    <w:p>
      <w:pPr>
        <w:numPr>
          <w:ilvl w:val="0"/>
          <w:numId w:val="1000"/>
        </w:numPr>
      </w:pPr>
      <w:r>
        <w:t xml:space="preserve">Réponse attendue : code 200.</w:t>
      </w:r>
    </w:p>
    <w:p>
      <w:pPr>
        <w:numPr>
          <w:ilvl w:val="0"/>
          <w:numId w:val="1031"/>
        </w:numPr>
      </w:pPr>
      <w:r>
        <w:rPr>
          <w:b/>
          <w:bCs/>
        </w:rPr>
        <w:t xml:space="preserve">État des conteneurs :</w:t>
      </w:r>
    </w:p>
    <w:p>
      <w:pPr>
        <w:pStyle w:val="SourceCode"/>
        <w:numPr>
          <w:ilvl w:val="0"/>
          <w:numId w:val="1000"/>
        </w:numPr>
      </w:pPr>
      <w:r>
        <w:rPr>
          <w:rStyle w:val="ExtensionTok"/>
        </w:rPr>
        <w:t xml:space="preserve">docker</w:t>
      </w:r>
      <w:r>
        <w:rPr>
          <w:rStyle w:val="NormalTok"/>
        </w:rPr>
        <w:t xml:space="preserve"> compose ps</w:t>
      </w:r>
      <w:r>
        <w:br/>
      </w:r>
      <w:r>
        <w:rPr>
          <w:rStyle w:val="CommentTok"/>
        </w:rPr>
        <w:t xml:space="preserve"># Tous les services doivent être "Up (healthy)"</w:t>
      </w:r>
    </w:p>
    <w:p>
      <w:pPr>
        <w:numPr>
          <w:ilvl w:val="0"/>
          <w:numId w:val="1031"/>
        </w:numPr>
      </w:pPr>
      <w:r>
        <w:rPr>
          <w:b/>
          <w:bCs/>
        </w:rPr>
        <w:t xml:space="preserve">Base de données :</w:t>
      </w:r>
    </w:p>
    <w:p>
      <w:pPr>
        <w:pStyle w:val="SourceCode"/>
        <w:numPr>
          <w:ilvl w:val="0"/>
          <w:numId w:val="1000"/>
        </w:numPr>
      </w:pPr>
      <w:r>
        <w:rPr>
          <w:rStyle w:val="ExtensionTok"/>
        </w:rPr>
        <w:t xml:space="preserve">docker</w:t>
      </w:r>
      <w:r>
        <w:rPr>
          <w:rStyle w:val="NormalTok"/>
        </w:rPr>
        <w:t xml:space="preserve"> compose exec postgres pg_isready </w:t>
      </w:r>
      <w:r>
        <w:rPr>
          <w:rStyle w:val="AttributeTok"/>
        </w:rPr>
        <w:t xml:space="preserve">-U</w:t>
      </w:r>
      <w:r>
        <w:rPr>
          <w:rStyle w:val="NormalTok"/>
        </w:rPr>
        <w:t xml:space="preserve"> </w:t>
      </w:r>
      <w:r>
        <w:rPr>
          <w:rStyle w:val="PreprocessorTok"/>
        </w:rPr>
        <w:t xml:space="preserve">[</w:t>
      </w:r>
      <w:r>
        <w:rPr>
          <w:rStyle w:val="SpecialStringTok"/>
        </w:rPr>
        <w:t xml:space="preserve">DB_USERNAME</w:t>
      </w:r>
      <w:r>
        <w:rPr>
          <w:rStyle w:val="PreprocessorTok"/>
        </w:rPr>
        <w:t xml:space="preserve">]</w:t>
      </w:r>
    </w:p>
    <w:p>
      <w:pPr>
        <w:numPr>
          <w:ilvl w:val="0"/>
          <w:numId w:val="1031"/>
        </w:numPr>
      </w:pPr>
      <w:r>
        <w:rPr>
          <w:b/>
          <w:bCs/>
        </w:rPr>
        <w:t xml:space="preserve">Redis :</w:t>
      </w:r>
    </w:p>
    <w:p>
      <w:pPr>
        <w:pStyle w:val="SourceCode"/>
        <w:numPr>
          <w:ilvl w:val="0"/>
          <w:numId w:val="1000"/>
        </w:numPr>
      </w:pPr>
      <w:r>
        <w:rPr>
          <w:rStyle w:val="ExtensionTok"/>
        </w:rPr>
        <w:t xml:space="preserve">docker</w:t>
      </w:r>
      <w:r>
        <w:rPr>
          <w:rStyle w:val="NormalTok"/>
        </w:rPr>
        <w:t xml:space="preserve"> compose exec redis redis-cli </w:t>
      </w:r>
      <w:r>
        <w:rPr>
          <w:rStyle w:val="AttributeTok"/>
        </w:rPr>
        <w:t xml:space="preserve">-a</w:t>
      </w:r>
      <w:r>
        <w:rPr>
          <w:rStyle w:val="NormalTok"/>
        </w:rPr>
        <w:t xml:space="preserve"> </w:t>
      </w:r>
      <w:r>
        <w:rPr>
          <w:rStyle w:val="StringTok"/>
        </w:rPr>
        <w:t xml:space="preserve">"</w:t>
      </w:r>
      <w:r>
        <w:rPr>
          <w:rStyle w:val="VariableTok"/>
        </w:rPr>
        <w:t xml:space="preserve">$REDIS_PASSWORD</w:t>
      </w:r>
      <w:r>
        <w:rPr>
          <w:rStyle w:val="StringTok"/>
        </w:rPr>
        <w:t xml:space="preserve">"</w:t>
      </w:r>
      <w:r>
        <w:rPr>
          <w:rStyle w:val="NormalTok"/>
        </w:rPr>
        <w:t xml:space="preserve"> ping   </w:t>
      </w:r>
      <w:r>
        <w:rPr>
          <w:rStyle w:val="CommentTok"/>
        </w:rPr>
        <w:t xml:space="preserve"># → PONG</w:t>
      </w:r>
    </w:p>
    <w:p>
      <w:pPr>
        <w:numPr>
          <w:ilvl w:val="0"/>
          <w:numId w:val="1031"/>
        </w:numPr>
      </w:pPr>
      <w:r>
        <w:rPr>
          <w:b/>
          <w:bCs/>
        </w:rPr>
        <w:t xml:space="preserve">Files d'attente :</w:t>
      </w:r>
      <w:r>
        <w:t xml:space="preserve"> </w:t>
      </w:r>
      <w:r>
        <w:t xml:space="preserve">vérifier l'absence d'accumulation anormale (voir EXPL-12).</w:t>
      </w:r>
    </w:p>
    <w:p>
      <w:pPr>
        <w:numPr>
          <w:ilvl w:val="0"/>
          <w:numId w:val="1031"/>
        </w:numPr>
      </w:pPr>
      <w:r>
        <w:rPr>
          <w:b/>
          <w:bCs/>
        </w:rPr>
        <w:t xml:space="preserve">Réplication (site actif) :</w:t>
      </w:r>
      <w:r>
        <w:t xml:space="preserve"> </w:t>
      </w:r>
      <w:r>
        <w:t xml:space="preserve">vérifier l'état du standby Salle B (retard de réplication) — voir EXPL-12 et cahier de recette T-BASCULE.</w:t>
      </w:r>
    </w:p>
    <w:p>
      <w:pPr>
        <w:pStyle w:val="FirstParagraph"/>
      </w:pPr>
      <w:r>
        <w:rPr>
          <w:b/>
          <w:bCs/>
        </w:rPr>
        <w:t xml:space="preserve">Fréquence recommandée :</w:t>
      </w:r>
      <w:r>
        <w:t xml:space="preserve"> </w:t>
      </w:r>
      <w:r>
        <w:t xml:space="preserve">contrôle automatisé par la supervision (voir EXPL-12) ; contrôle manuel après chaque opération (démarrage, mise à jour, restauration).</w:t>
      </w:r>
    </w:p>
    <w:p>
      <w:r>
        <w:pict>
          <v:rect style="width:0;height:1.5pt" o:hralign="center" o:hrstd="t" o:hr="t"/>
        </w:pict>
      </w:r>
    </w:p>
    <w:bookmarkEnd w:id="121"/>
    <w:bookmarkStart w:id="122" w:name="X7cf0a2722391921222c3c177acf5675bf991b9e"/>
    <w:p>
      <w:pPr>
        <w:pStyle w:val="Heading2"/>
      </w:pPr>
      <w:r>
        <w:t xml:space="preserve">EXPL-04 — Gestion des comptes et des rôles (RBAC)</w:t>
      </w:r>
    </w:p>
    <w:p>
      <w:pPr>
        <w:pStyle w:val="FirstParagraph"/>
      </w:pPr>
      <w:r>
        <w:rPr>
          <w:b/>
          <w:bCs/>
        </w:rPr>
        <w:t xml:space="preserve">Objectif :</w:t>
      </w:r>
      <w:r>
        <w:t xml:space="preserve"> </w:t>
      </w:r>
      <w:r>
        <w:t xml:space="preserve">administrer les utilisateurs selon le modèle RBAC à 5 niveaux.</w:t>
      </w:r>
    </w:p>
    <w:p>
      <w:pPr>
        <w:pStyle w:val="BodyText"/>
      </w:pPr>
      <w:r>
        <w:rPr>
          <w:b/>
          <w:bCs/>
        </w:rPr>
        <w:t xml:space="preserve">Rôles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Rôle</w:t>
            </w:r>
          </w:p>
        </w:tc>
        <w:tc>
          <w:tcPr/>
          <w:p>
            <w:pPr>
              <w:pStyle w:val="Compact"/>
            </w:pPr>
            <w:r>
              <w:t xml:space="preserve">Portée</w:t>
            </w:r>
          </w:p>
        </w:tc>
        <w:tc>
          <w:tcPr/>
          <w:p>
            <w:pPr>
              <w:pStyle w:val="Compact"/>
            </w:pPr>
            <w:r>
              <w:t xml:space="preserve">Droits</w:t>
            </w:r>
          </w:p>
        </w:tc>
      </w:tr>
      <w:tr>
        <w:tc>
          <w:tcPr/>
          <w:p>
            <w:pPr>
              <w:pStyle w:val="Compact"/>
            </w:pPr>
            <w:r>
              <w:rPr>
                <w:rStyle w:val="VerbatimChar"/>
              </w:rPr>
              <w:t xml:space="preserve">super_admin</w:t>
            </w:r>
          </w:p>
        </w:tc>
        <w:tc>
          <w:tcPr/>
          <w:p>
            <w:pPr>
              <w:pStyle w:val="Compact"/>
            </w:pPr>
            <w:r>
              <w:t xml:space="preserve">Plateforme</w:t>
            </w:r>
          </w:p>
        </w:tc>
        <w:tc>
          <w:tcPr/>
          <w:p>
            <w:pPr>
              <w:pStyle w:val="Compact"/>
            </w:pPr>
            <w:r>
              <w:t xml:space="preserve">Tout : organisations, utilisateurs, configurations LLM, templates, licences</w:t>
            </w:r>
          </w:p>
        </w:tc>
      </w:tr>
      <w:tr>
        <w:tc>
          <w:tcPr/>
          <w:p>
            <w:pPr>
              <w:pStyle w:val="Compact"/>
            </w:pPr>
            <w:r>
              <w:rPr>
                <w:rStyle w:val="VerbatimChar"/>
              </w:rPr>
              <w:t xml:space="preserve">agent</w:t>
            </w:r>
            <w:r>
              <w:t xml:space="preserve"> </w:t>
            </w:r>
            <w:r>
              <w:t xml:space="preserve">/</w:t>
            </w:r>
            <w:r>
              <w:t xml:space="preserve"> </w:t>
            </w:r>
            <w:r>
              <w:rPr>
                <w:rStyle w:val="VerbatimChar"/>
              </w:rPr>
              <w:t xml:space="preserve">super_agent</w:t>
            </w:r>
          </w:p>
        </w:tc>
        <w:tc>
          <w:tcPr/>
          <w:p>
            <w:pPr>
              <w:pStyle w:val="Compact"/>
            </w:pPr>
            <w:r>
              <w:t xml:space="preserve">Multi-organisations</w:t>
            </w:r>
          </w:p>
        </w:tc>
        <w:tc>
          <w:tcPr/>
          <w:p>
            <w:pPr>
              <w:pStyle w:val="Compact"/>
            </w:pPr>
            <w:r>
              <w:t xml:space="preserve">Comme super_admin, restreint aux organisations assignées (le rôle plateforme n'accède pas au</w:t>
            </w:r>
            <w:r>
              <w:t xml:space="preserve"> </w:t>
            </w:r>
            <w:r>
              <w:rPr>
                <w:b/>
                <w:bCs/>
              </w:rPr>
              <w:t xml:space="preserve">contenu</w:t>
            </w:r>
            <w:r>
              <w:t xml:space="preserve"> </w:t>
            </w:r>
            <w:r>
              <w:t xml:space="preserve">des organisations)</w:t>
            </w:r>
          </w:p>
        </w:tc>
      </w:tr>
      <w:tr>
        <w:tc>
          <w:tcPr/>
          <w:p>
            <w:pPr>
              <w:pStyle w:val="Compact"/>
            </w:pPr>
            <w:r>
              <w:rPr>
                <w:rStyle w:val="VerbatimChar"/>
              </w:rPr>
              <w:t xml:space="preserve">manager</w:t>
            </w:r>
          </w:p>
        </w:tc>
        <w:tc>
          <w:tcPr/>
          <w:p>
            <w:pPr>
              <w:pStyle w:val="Compact"/>
            </w:pPr>
            <w:r>
              <w:t xml:space="preserve">Organisation</w:t>
            </w:r>
          </w:p>
        </w:tc>
        <w:tc>
          <w:tcPr/>
          <w:p>
            <w:pPr>
              <w:pStyle w:val="Compact"/>
            </w:pPr>
            <w:r>
              <w:t xml:space="preserve">Tout dans son organisation : séances, réglages, utilisateurs</w:t>
            </w:r>
          </w:p>
        </w:tc>
      </w:tr>
      <w:tr>
        <w:tc>
          <w:tcPr/>
          <w:p>
            <w:pPr>
              <w:pStyle w:val="Compact"/>
            </w:pPr>
            <w:r>
              <w:rPr>
                <w:rStyle w:val="VerbatimChar"/>
              </w:rPr>
              <w:t xml:space="preserve">team_lead</w:t>
            </w:r>
          </w:p>
        </w:tc>
        <w:tc>
          <w:tcPr/>
          <w:p>
            <w:pPr>
              <w:pStyle w:val="Compact"/>
            </w:pPr>
            <w:r>
              <w:t xml:space="preserve">Organisation</w:t>
            </w:r>
          </w:p>
        </w:tc>
        <w:tc>
          <w:tcPr/>
          <w:p>
            <w:pPr>
              <w:pStyle w:val="Compact"/>
            </w:pPr>
            <w:r>
              <w:t xml:space="preserve">Séances de son équipe, pas d'accès aux réglages</w:t>
            </w:r>
          </w:p>
        </w:tc>
      </w:tr>
      <w:tr>
        <w:tc>
          <w:tcPr/>
          <w:p>
            <w:pPr>
              <w:pStyle w:val="Compact"/>
            </w:pPr>
            <w:r>
              <w:rPr>
                <w:rStyle w:val="VerbatimChar"/>
              </w:rPr>
              <w:t xml:space="preserve">user</w:t>
            </w:r>
          </w:p>
        </w:tc>
        <w:tc>
          <w:tcPr/>
          <w:p>
            <w:pPr>
              <w:pStyle w:val="Compact"/>
            </w:pPr>
            <w:r>
              <w:t xml:space="preserve">Organisation</w:t>
            </w:r>
          </w:p>
        </w:tc>
        <w:tc>
          <w:tcPr/>
          <w:p>
            <w:pPr>
              <w:pStyle w:val="Compact"/>
            </w:pPr>
            <w:r>
              <w:t xml:space="preserve">Ses propres séances uniquement</w:t>
            </w:r>
          </w:p>
        </w:tc>
      </w:tr>
    </w:tbl>
    <w:p>
      <w:pPr>
        <w:pStyle w:val="BodyText"/>
      </w:pPr>
      <w:r>
        <w:rPr>
          <w:b/>
          <w:bCs/>
        </w:rPr>
        <w:t xml:space="preserve">Bonnes pratiques :</w:t>
      </w:r>
    </w:p>
    <w:p>
      <w:pPr>
        <w:pStyle w:val="Compact"/>
        <w:numPr>
          <w:ilvl w:val="0"/>
          <w:numId w:val="1032"/>
        </w:numPr>
      </w:pPr>
      <w:r>
        <w:t xml:space="preserve">Comptes</w:t>
      </w:r>
      <w:r>
        <w:t xml:space="preserve"> </w:t>
      </w:r>
      <w:r>
        <w:rPr>
          <w:b/>
          <w:bCs/>
        </w:rPr>
        <w:t xml:space="preserve">nominatifs</w:t>
      </w:r>
      <w:r>
        <w:t xml:space="preserve"> </w:t>
      </w:r>
      <w:r>
        <w:t xml:space="preserve">; pas de compte partagé.</w:t>
      </w:r>
    </w:p>
    <w:p>
      <w:pPr>
        <w:pStyle w:val="Compact"/>
        <w:numPr>
          <w:ilvl w:val="0"/>
          <w:numId w:val="1032"/>
        </w:numPr>
      </w:pPr>
      <w:r>
        <w:t xml:space="preserve">Attribution du</w:t>
      </w:r>
      <w:r>
        <w:t xml:space="preserve"> </w:t>
      </w:r>
      <w:r>
        <w:rPr>
          <w:b/>
          <w:bCs/>
        </w:rPr>
        <w:t xml:space="preserve">moindre privilège</w:t>
      </w:r>
      <w:r>
        <w:t xml:space="preserve"> </w:t>
      </w:r>
      <w:r>
        <w:t xml:space="preserve">: un utilisateur reçoit le rôle minimal nécessaire.</w:t>
      </w:r>
    </w:p>
    <w:p>
      <w:pPr>
        <w:pStyle w:val="Compact"/>
        <w:numPr>
          <w:ilvl w:val="0"/>
          <w:numId w:val="1032"/>
        </w:numPr>
      </w:pPr>
      <w:r>
        <w:t xml:space="preserve">Revue périodique des comptes et des rôles (recommandée : semestrielle).</w:t>
      </w:r>
    </w:p>
    <w:p>
      <w:pPr>
        <w:pStyle w:val="Compact"/>
        <w:numPr>
          <w:ilvl w:val="0"/>
          <w:numId w:val="1032"/>
        </w:numPr>
      </w:pPr>
      <w:r>
        <w:t xml:space="preserve">Désactivation immédiate d'un compte au départ d'un agent.</w:t>
      </w:r>
    </w:p>
    <w:p>
      <w:pPr>
        <w:pStyle w:val="FirstParagraph"/>
      </w:pPr>
      <w:r>
        <w:rPr>
          <w:b/>
          <w:bCs/>
        </w:rPr>
        <w:t xml:space="preserve">Actions destructives ou sensibles</w:t>
      </w:r>
      <w:r>
        <w:t xml:space="preserve"> </w:t>
      </w:r>
      <w:r>
        <w:t xml:space="preserve">(suppression, restauration, modification de politique 2FA) : protégées par</w:t>
      </w:r>
      <w:r>
        <w:t xml:space="preserve"> </w:t>
      </w:r>
      <w:r>
        <w:rPr>
          <w:b/>
          <w:bCs/>
        </w:rPr>
        <w:t xml:space="preserve">step-up password</w:t>
      </w:r>
      <w:r>
        <w:t xml:space="preserve"> </w:t>
      </w:r>
      <w:r>
        <w:t xml:space="preserve">(ressaisie du mot de passe).</w:t>
      </w:r>
    </w:p>
    <w:p>
      <w:pPr>
        <w:pStyle w:val="BodyText"/>
      </w:pPr>
      <w:r>
        <w:rPr>
          <w:b/>
          <w:bCs/>
        </w:rPr>
        <w:t xml:space="preserve">Isolation :</w:t>
      </w:r>
      <w:r>
        <w:t xml:space="preserve"> </w:t>
      </w:r>
      <w:r>
        <w:t xml:space="preserve">chaque organisation dispose d'un schéma PostgreSQL dédié ; un utilisateur d'une organisation ne voit jamais les données d'une autre (vérifié en recette — T-SEC).</w:t>
      </w:r>
    </w:p>
    <w:p>
      <w:r>
        <w:pict>
          <v:rect style="width:0;height:1.5pt" o:hralign="center" o:hrstd="t" o:hr="t"/>
        </w:pict>
      </w:r>
    </w:p>
    <w:bookmarkEnd w:id="122"/>
    <w:bookmarkStart w:id="123" w:name="X9345030e2d149f695ad0d29359e22e714121ff6"/>
    <w:p>
      <w:pPr>
        <w:pStyle w:val="Heading2"/>
      </w:pPr>
      <w:r>
        <w:t xml:space="preserve">EXPL-05 — Création du premier super administrateur</w:t>
      </w:r>
    </w:p>
    <w:p>
      <w:pPr>
        <w:pStyle w:val="FirstParagraph"/>
      </w:pPr>
      <w:r>
        <w:rPr>
          <w:b/>
          <w:bCs/>
        </w:rPr>
        <w:t xml:space="preserve">Objectif :</w:t>
      </w:r>
      <w:r>
        <w:t xml:space="preserve"> </w:t>
      </w:r>
      <w:r>
        <w:t xml:space="preserve">initialiser le compte d'administration plateforme après installation.</w:t>
      </w:r>
    </w:p>
    <w:p>
      <w:pPr>
        <w:pStyle w:val="BodyText"/>
      </w:pPr>
      <w:r>
        <w:rPr>
          <w:b/>
          <w:bCs/>
        </w:rPr>
        <w:t xml:space="preserve">Procédure de référence :</w:t>
      </w:r>
    </w:p>
    <w:p>
      <w:pPr>
        <w:pStyle w:val="SourceCode"/>
      </w:pPr>
      <w:r>
        <w:rPr>
          <w:rStyle w:val="ExtensionTok"/>
        </w:rPr>
        <w:t xml:space="preserve">docker</w:t>
      </w:r>
      <w:r>
        <w:rPr>
          <w:rStyle w:val="NormalTok"/>
        </w:rPr>
        <w:t xml:space="preserve"> compose exec app php artisan tinker </w:t>
      </w:r>
      <w:r>
        <w:rPr>
          <w:rStyle w:val="AttributeTok"/>
        </w:rPr>
        <w:t xml:space="preserve">--execute</w:t>
      </w:r>
      <w:r>
        <w:rPr>
          <w:rStyle w:val="OperatorTok"/>
        </w:rPr>
        <w:t xml:space="preserve">=</w:t>
      </w:r>
      <w:r>
        <w:rPr>
          <w:rStyle w:val="StringTok"/>
        </w:rPr>
        <w:t xml:space="preserve">"</w:t>
      </w:r>
      <w:r>
        <w:br/>
      </w:r>
      <w:r>
        <w:rPr>
          <w:rStyle w:val="StringTok"/>
        </w:rPr>
        <w:t xml:space="preserve">\App\Models\User::create([</w:t>
      </w:r>
      <w:r>
        <w:br/>
      </w:r>
      <w:r>
        <w:rPr>
          <w:rStyle w:val="StringTok"/>
        </w:rPr>
        <w:t xml:space="preserve">    'name' =&gt; '[Nom Admin]',</w:t>
      </w:r>
      <w:r>
        <w:br/>
      </w:r>
      <w:r>
        <w:rPr>
          <w:rStyle w:val="StringTok"/>
        </w:rPr>
        <w:t xml:space="preserve">    'email' =&gt; '[email admin]',</w:t>
      </w:r>
      <w:r>
        <w:br/>
      </w:r>
      <w:r>
        <w:rPr>
          <w:rStyle w:val="StringTok"/>
        </w:rPr>
        <w:t xml:space="preserve">    'password' =&gt; bcrypt('[mot de passe fort provisoire]'),</w:t>
      </w:r>
      <w:r>
        <w:br/>
      </w:r>
      <w:r>
        <w:rPr>
          <w:rStyle w:val="StringTok"/>
        </w:rPr>
        <w:t xml:space="preserve">    'role' =&gt; 'super_admin',</w:t>
      </w:r>
      <w:r>
        <w:br/>
      </w:r>
      <w:r>
        <w:rPr>
          <w:rStyle w:val="StringTok"/>
        </w:rPr>
        <w:t xml:space="preserve">    'is_active' =&gt; true,</w:t>
      </w:r>
      <w:r>
        <w:br/>
      </w:r>
      <w:r>
        <w:rPr>
          <w:rStyle w:val="StringTok"/>
        </w:rPr>
        <w:t xml:space="preserve">]);"</w:t>
      </w:r>
    </w:p>
    <w:p>
      <w:pPr>
        <w:pStyle w:val="FirstParagraph"/>
      </w:pPr>
      <w:r>
        <w:rPr>
          <w:b/>
          <w:bCs/>
        </w:rPr>
        <w:t xml:space="preserve">Après création :</w:t>
      </w:r>
    </w:p>
    <w:p>
      <w:pPr>
        <w:pStyle w:val="Compact"/>
        <w:numPr>
          <w:ilvl w:val="0"/>
          <w:numId w:val="1033"/>
        </w:numPr>
      </w:pPr>
      <w:r>
        <w:t xml:space="preserve">Se connecter et</w:t>
      </w:r>
      <w:r>
        <w:t xml:space="preserve"> </w:t>
      </w:r>
      <w:r>
        <w:rPr>
          <w:b/>
          <w:bCs/>
        </w:rPr>
        <w:t xml:space="preserve">changer le mot de passe</w:t>
      </w:r>
      <w:r>
        <w:t xml:space="preserve"> </w:t>
      </w:r>
      <w:r>
        <w:t xml:space="preserve">provisoire.</w:t>
      </w:r>
    </w:p>
    <w:p>
      <w:pPr>
        <w:pStyle w:val="Compact"/>
        <w:numPr>
          <w:ilvl w:val="0"/>
          <w:numId w:val="1033"/>
        </w:numPr>
      </w:pPr>
      <w:r>
        <w:rPr>
          <w:b/>
          <w:bCs/>
        </w:rPr>
        <w:t xml:space="preserve">Activer la 2FA</w:t>
      </w:r>
      <w:r>
        <w:t xml:space="preserve"> </w:t>
      </w:r>
      <w:r>
        <w:t xml:space="preserve">immédiatement (voir EXPL-06).</w:t>
      </w:r>
    </w:p>
    <w:p>
      <w:pPr>
        <w:pStyle w:val="Compact"/>
        <w:numPr>
          <w:ilvl w:val="0"/>
          <w:numId w:val="1033"/>
        </w:numPr>
      </w:pPr>
      <w:r>
        <w:t xml:space="preserve">Créer les comptes d'exploitation nominatifs ; réserver le super_admin aux opérations d'administration.</w:t>
      </w:r>
    </w:p>
    <w:p>
      <w:r>
        <w:pict>
          <v:rect style="width:0;height:1.5pt" o:hralign="center" o:hrstd="t" o:hr="t"/>
        </w:pict>
      </w:r>
    </w:p>
    <w:bookmarkEnd w:id="123"/>
    <w:bookmarkStart w:id="124" w:name="expl-06--politique-2fa"/>
    <w:p>
      <w:pPr>
        <w:pStyle w:val="Heading2"/>
      </w:pPr>
      <w:r>
        <w:t xml:space="preserve">EXPL-06 — Politique 2FA</w:t>
      </w:r>
    </w:p>
    <w:p>
      <w:pPr>
        <w:pStyle w:val="FirstParagraph"/>
      </w:pPr>
      <w:r>
        <w:rPr>
          <w:b/>
          <w:bCs/>
        </w:rPr>
        <w:t xml:space="preserve">Objectif :</w:t>
      </w:r>
      <w:r>
        <w:t xml:space="preserve"> </w:t>
      </w:r>
      <w:r>
        <w:t xml:space="preserve">renforcer l'authentification par double facteur.</w:t>
      </w:r>
    </w:p>
    <w:p>
      <w:pPr>
        <w:pStyle w:val="BodyText"/>
      </w:pPr>
      <w:r>
        <w:rPr>
          <w:b/>
          <w:bCs/>
        </w:rPr>
        <w:t xml:space="preserve">Caractéristiques :</w:t>
      </w:r>
    </w:p>
    <w:p>
      <w:pPr>
        <w:pStyle w:val="Compact"/>
        <w:numPr>
          <w:ilvl w:val="0"/>
          <w:numId w:val="1034"/>
        </w:numPr>
      </w:pPr>
      <w:r>
        <w:t xml:space="preserve">2FA</w:t>
      </w:r>
      <w:r>
        <w:t xml:space="preserve"> </w:t>
      </w:r>
      <w:r>
        <w:rPr>
          <w:b/>
          <w:bCs/>
        </w:rPr>
        <w:t xml:space="preserve">TOTP</w:t>
      </w:r>
      <w:r>
        <w:t xml:space="preserve"> </w:t>
      </w:r>
      <w:r>
        <w:t xml:space="preserve">conforme RFC 6238 (compatible Google Authenticator, Authy, Microsoft Authenticator, 1Password).</w:t>
      </w:r>
    </w:p>
    <w:p>
      <w:pPr>
        <w:pStyle w:val="Compact"/>
        <w:numPr>
          <w:ilvl w:val="0"/>
          <w:numId w:val="1034"/>
        </w:numPr>
      </w:pPr>
      <w:r>
        <w:t xml:space="preserve">Enrôlement</w:t>
      </w:r>
      <w:r>
        <w:t xml:space="preserve"> </w:t>
      </w:r>
      <w:r>
        <w:rPr>
          <w:b/>
          <w:bCs/>
        </w:rPr>
        <w:t xml:space="preserve">configurable par rôle</w:t>
      </w:r>
      <w:r>
        <w:t xml:space="preserve">.</w:t>
      </w:r>
    </w:p>
    <w:p>
      <w:pPr>
        <w:pStyle w:val="Compact"/>
        <w:numPr>
          <w:ilvl w:val="0"/>
          <w:numId w:val="1034"/>
        </w:numPr>
      </w:pPr>
      <w:r>
        <w:t xml:space="preserve">Secrets 2FA chiffrés en base (AES-256-CBC).</w:t>
      </w:r>
    </w:p>
    <w:p>
      <w:pPr>
        <w:pStyle w:val="FirstParagraph"/>
      </w:pPr>
      <w:r>
        <w:rPr>
          <w:b/>
          <w:bCs/>
        </w:rPr>
        <w:t xml:space="preserve">Politique recommandée :</w:t>
      </w:r>
    </w:p>
    <w:p>
      <w:pPr>
        <w:pStyle w:val="Compact"/>
        <w:numPr>
          <w:ilvl w:val="0"/>
          <w:numId w:val="1035"/>
        </w:numPr>
      </w:pPr>
      <w:r>
        <w:rPr>
          <w:b/>
          <w:bCs/>
        </w:rPr>
        <w:t xml:space="preserve">2FA obligatoire</w:t>
      </w:r>
      <w:r>
        <w:t xml:space="preserve"> </w:t>
      </w:r>
      <w:r>
        <w:t xml:space="preserve">pour</w:t>
      </w:r>
      <w:r>
        <w:t xml:space="preserve"> </w:t>
      </w:r>
      <w:r>
        <w:rPr>
          <w:rStyle w:val="VerbatimChar"/>
        </w:rPr>
        <w:t xml:space="preserve">super_admin</w:t>
      </w:r>
      <w:r>
        <w:t xml:space="preserve">,</w:t>
      </w:r>
      <w:r>
        <w:t xml:space="preserve"> </w:t>
      </w:r>
      <w:r>
        <w:rPr>
          <w:rStyle w:val="VerbatimChar"/>
        </w:rPr>
        <w:t xml:space="preserve">agent</w:t>
      </w:r>
      <w:r>
        <w:t xml:space="preserve">/</w:t>
      </w:r>
      <w:r>
        <w:rPr>
          <w:rStyle w:val="VerbatimChar"/>
        </w:rPr>
        <w:t xml:space="preserve">super_agent</w:t>
      </w:r>
      <w:r>
        <w:t xml:space="preserve">,</w:t>
      </w:r>
      <w:r>
        <w:t xml:space="preserve"> </w:t>
      </w:r>
      <w:r>
        <w:rPr>
          <w:rStyle w:val="VerbatimChar"/>
        </w:rPr>
        <w:t xml:space="preserve">manager</w:t>
      </w:r>
      <w:r>
        <w:t xml:space="preserve">.</w:t>
      </w:r>
    </w:p>
    <w:p>
      <w:pPr>
        <w:pStyle w:val="Compact"/>
        <w:numPr>
          <w:ilvl w:val="0"/>
          <w:numId w:val="1035"/>
        </w:numPr>
      </w:pPr>
      <w:r>
        <w:t xml:space="preserve">2FA recommandée pour</w:t>
      </w:r>
      <w:r>
        <w:t xml:space="preserve"> </w:t>
      </w:r>
      <w:r>
        <w:rPr>
          <w:rStyle w:val="VerbatimChar"/>
        </w:rPr>
        <w:t xml:space="preserve">team_lead</w:t>
      </w:r>
      <w:r>
        <w:t xml:space="preserve"> </w:t>
      </w:r>
      <w:r>
        <w:t xml:space="preserve">et</w:t>
      </w:r>
      <w:r>
        <w:t xml:space="preserve"> </w:t>
      </w:r>
      <w:r>
        <w:rPr>
          <w:rStyle w:val="VerbatimChar"/>
        </w:rPr>
        <w:t xml:space="preserve">user</w:t>
      </w:r>
      <w:r>
        <w:t xml:space="preserve"> </w:t>
      </w:r>
      <w:r>
        <w:t xml:space="preserve">(à arbitrer selon la politique du Client).</w:t>
      </w:r>
    </w:p>
    <w:p>
      <w:pPr>
        <w:pStyle w:val="Compact"/>
        <w:numPr>
          <w:ilvl w:val="0"/>
          <w:numId w:val="1035"/>
        </w:numPr>
      </w:pPr>
      <w:r>
        <w:t xml:space="preserve">Procédure de</w:t>
      </w:r>
      <w:r>
        <w:t xml:space="preserve"> </w:t>
      </w:r>
      <w:r>
        <w:rPr>
          <w:b/>
          <w:bCs/>
        </w:rPr>
        <w:t xml:space="preserve">réinitialisation 2FA</w:t>
      </w:r>
      <w:r>
        <w:t xml:space="preserve"> </w:t>
      </w:r>
      <w:r>
        <w:t xml:space="preserve">encadrée (step-up password, traçabilité) en cas de perte du terminal d'authentification.</w:t>
      </w:r>
    </w:p>
    <w:p>
      <w:r>
        <w:pict>
          <v:rect style="width:0;height:1.5pt" o:hralign="center" o:hrstd="t" o:hr="t"/>
        </w:pict>
      </w:r>
    </w:p>
    <w:bookmarkEnd w:id="124"/>
    <w:bookmarkStart w:id="125" w:name="Xcd28ef92a9658efe0f1a45b603e6396ca593b46"/>
    <w:p>
      <w:pPr>
        <w:pStyle w:val="Heading2"/>
      </w:pPr>
      <w:r>
        <w:t xml:space="preserve">EXPL-07 — Sauvegarde des configurations en place</w:t>
      </w:r>
    </w:p>
    <w:p>
      <w:pPr>
        <w:pStyle w:val="FirstParagraph"/>
      </w:pPr>
      <w:r>
        <w:rPr>
          <w:b/>
          <w:bCs/>
        </w:rPr>
        <w:t xml:space="preserve">Objectif :</w:t>
      </w:r>
      <w:r>
        <w:t xml:space="preserve"> </w:t>
      </w:r>
      <w:r>
        <w:t xml:space="preserve">pouvoir reconstruire à l'identique la configuration de la plateforme.</w:t>
      </w:r>
    </w:p>
    <w:p>
      <w:pPr>
        <w:pStyle w:val="BodyText"/>
      </w:pPr>
      <w:r>
        <w:rPr>
          <w:b/>
          <w:bCs/>
        </w:rPr>
        <w:t xml:space="preserve">Éléments à sauvegarder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Élément</w:t>
            </w:r>
          </w:p>
        </w:tc>
        <w:tc>
          <w:tcPr/>
          <w:p>
            <w:pPr>
              <w:pStyle w:val="Compact"/>
            </w:pPr>
            <w:r>
              <w:t xml:space="preserve">Chemin (type)</w:t>
            </w:r>
          </w:p>
        </w:tc>
        <w:tc>
          <w:tcPr/>
          <w:p>
            <w:pPr>
              <w:pStyle w:val="Compact"/>
            </w:pPr>
            <w:r>
              <w:t xml:space="preserve">Nature</w:t>
            </w:r>
          </w:p>
        </w:tc>
      </w:tr>
      <w:tr>
        <w:tc>
          <w:tcPr/>
          <w:p>
            <w:pPr>
              <w:pStyle w:val="Compact"/>
            </w:pPr>
            <w:r>
              <w:t xml:space="preserve">Variables d'environnement racine</w:t>
            </w:r>
          </w:p>
        </w:tc>
        <w:tc>
          <w:tcPr/>
          <w:p>
            <w:pPr>
              <w:pStyle w:val="Compact"/>
            </w:pPr>
            <w:r>
              <w:rPr>
                <w:rStyle w:val="VerbatimChar"/>
              </w:rPr>
              <w:t xml:space="preserve">./.env</w:t>
            </w:r>
          </w:p>
        </w:tc>
        <w:tc>
          <w:tcPr/>
          <w:p>
            <w:pPr>
              <w:pStyle w:val="Compact"/>
            </w:pPr>
            <w:r>
              <w:t xml:space="preserve">Paramètres Docker (BDD, Redis, ports)</w:t>
            </w:r>
          </w:p>
        </w:tc>
      </w:tr>
      <w:tr>
        <w:tc>
          <w:tcPr/>
          <w:p>
            <w:pPr>
              <w:pStyle w:val="Compact"/>
            </w:pPr>
            <w:r>
              <w:t xml:space="preserve">Variables Laravel</w:t>
            </w:r>
          </w:p>
        </w:tc>
        <w:tc>
          <w:tcPr/>
          <w:p>
            <w:pPr>
              <w:pStyle w:val="Compact"/>
            </w:pPr>
            <w:r>
              <w:rPr>
                <w:rStyle w:val="VerbatimChar"/>
              </w:rPr>
              <w:t xml:space="preserve">./backend/.env</w:t>
            </w:r>
          </w:p>
        </w:tc>
        <w:tc>
          <w:tcPr/>
          <w:p>
            <w:pPr>
              <w:pStyle w:val="Compact"/>
            </w:pPr>
            <w:r>
              <w:t xml:space="preserve">Paramètres applicatifs (APP_KEY, Sanctum, LLM local)</w:t>
            </w:r>
          </w:p>
        </w:tc>
      </w:tr>
      <w:tr>
        <w:tc>
          <w:tcPr/>
          <w:p>
            <w:pPr>
              <w:pStyle w:val="Compact"/>
            </w:pPr>
            <w:r>
              <w:t xml:space="preserve">Orchestration</w:t>
            </w:r>
          </w:p>
        </w:tc>
        <w:tc>
          <w:tcPr/>
          <w:p>
            <w:pPr>
              <w:pStyle w:val="Compact"/>
            </w:pPr>
            <w:r>
              <w:rPr>
                <w:rStyle w:val="VerbatimChar"/>
              </w:rPr>
              <w:t xml:space="preserve">./docker-compose.yml</w:t>
            </w:r>
            <w:r>
              <w:t xml:space="preserve"> </w:t>
            </w:r>
            <w:r>
              <w:t xml:space="preserve">(+ overrides)</w:t>
            </w:r>
          </w:p>
        </w:tc>
        <w:tc>
          <w:tcPr/>
          <w:p>
            <w:pPr>
              <w:pStyle w:val="Compact"/>
            </w:pPr>
            <w:r>
              <w:t xml:space="preserve">Définition des services</w:t>
            </w:r>
          </w:p>
        </w:tc>
      </w:tr>
      <w:tr>
        <w:tc>
          <w:tcPr/>
          <w:p>
            <w:pPr>
              <w:pStyle w:val="Compact"/>
            </w:pPr>
            <w:r>
              <w:t xml:space="preserve">Config nginx</w:t>
            </w:r>
          </w:p>
        </w:tc>
        <w:tc>
          <w:tcPr/>
          <w:p>
            <w:pPr>
              <w:pStyle w:val="Compact"/>
            </w:pPr>
            <w:r>
              <w:rPr>
                <w:rStyle w:val="VerbatimChar"/>
              </w:rPr>
              <w:t xml:space="preserve">./docker/nginx/default.conf</w:t>
            </w:r>
          </w:p>
        </w:tc>
        <w:tc>
          <w:tcPr/>
          <w:p>
            <w:pPr>
              <w:pStyle w:val="Compact"/>
            </w:pPr>
            <w:r>
              <w:t xml:space="preserve">Reverse proxy, en-têtes de sécurité</w:t>
            </w:r>
          </w:p>
        </w:tc>
      </w:tr>
      <w:tr>
        <w:tc>
          <w:tcPr/>
          <w:p>
            <w:pPr>
              <w:pStyle w:val="Compact"/>
            </w:pPr>
            <w:r>
              <w:t xml:space="preserve">Config PostgreSQL / réplication</w:t>
            </w:r>
          </w:p>
        </w:tc>
        <w:tc>
          <w:tcPr/>
          <w:p>
            <w:pPr>
              <w:pStyle w:val="Compact"/>
            </w:pPr>
            <w:r>
              <w:rPr>
                <w:rStyle w:val="VerbatimChar"/>
              </w:rPr>
              <w:t xml:space="preserve">[À RENSEIGNER]</w:t>
            </w:r>
          </w:p>
        </w:tc>
        <w:tc>
          <w:tcPr/>
          <w:p>
            <w:pPr>
              <w:pStyle w:val="Compact"/>
            </w:pPr>
            <w:r>
              <w:t xml:space="preserve">Paramètres de réplication vers Salle B</w:t>
            </w:r>
          </w:p>
        </w:tc>
      </w:tr>
      <w:tr>
        <w:tc>
          <w:tcPr/>
          <w:p>
            <w:pPr>
              <w:pStyle w:val="Compact"/>
            </w:pPr>
            <w:r>
              <w:t xml:space="preserve">Certificats TLS</w:t>
            </w:r>
          </w:p>
        </w:tc>
        <w:tc>
          <w:tcPr/>
          <w:p>
            <w:pPr>
              <w:pStyle w:val="Compact"/>
            </w:pPr>
            <w:r>
              <w:rPr>
                <w:rStyle w:val="VerbatimChar"/>
              </w:rPr>
              <w:t xml:space="preserve">[À RENSEIGNER]</w:t>
            </w:r>
          </w:p>
        </w:tc>
        <w:tc>
          <w:tcPr/>
          <w:p>
            <w:pPr>
              <w:pStyle w:val="Compact"/>
            </w:pPr>
            <w:r>
              <w:t xml:space="preserve">Certificats et clés (à protéger)</w:t>
            </w:r>
          </w:p>
        </w:tc>
      </w:tr>
    </w:tbl>
    <w:p>
      <w:pPr>
        <w:pStyle w:val="BodyText"/>
      </w:pPr>
      <w:r>
        <w:rPr>
          <w:b/>
          <w:bCs/>
        </w:rPr>
        <w:t xml:space="preserve">Procédure :</w:t>
      </w:r>
    </w:p>
    <w:p>
      <w:pPr>
        <w:pStyle w:val="Compact"/>
        <w:numPr>
          <w:ilvl w:val="0"/>
          <w:numId w:val="1036"/>
        </w:numPr>
      </w:pPr>
      <w:r>
        <w:t xml:space="preserve">Sauvegarde</w:t>
      </w:r>
      <w:r>
        <w:t xml:space="preserve"> </w:t>
      </w:r>
      <w:r>
        <w:rPr>
          <w:b/>
          <w:bCs/>
        </w:rPr>
        <w:t xml:space="preserve">chiffrée</w:t>
      </w:r>
      <w:r>
        <w:t xml:space="preserve"> </w:t>
      </w:r>
      <w:r>
        <w:t xml:space="preserve">de ces fichiers (ils contiennent des secrets) — chiffrement</w:t>
      </w:r>
      <w:r>
        <w:t xml:space="preserve"> </w:t>
      </w:r>
      <w:r>
        <w:rPr>
          <w:rStyle w:val="VerbatimChar"/>
        </w:rPr>
        <w:t xml:space="preserve">age</w:t>
      </w:r>
      <w:r>
        <w:t xml:space="preserve"> </w:t>
      </w:r>
      <w:r>
        <w:t xml:space="preserve">comme pour les données (EXPL-08).</w:t>
      </w:r>
    </w:p>
    <w:p>
      <w:pPr>
        <w:pStyle w:val="Compact"/>
        <w:numPr>
          <w:ilvl w:val="0"/>
          <w:numId w:val="1036"/>
        </w:numPr>
      </w:pPr>
      <w:r>
        <w:rPr>
          <w:b/>
          <w:bCs/>
        </w:rPr>
        <w:t xml:space="preserve">Rythme :</w:t>
      </w:r>
      <w:r>
        <w:t xml:space="preserve"> </w:t>
      </w:r>
      <w:r>
        <w:t xml:space="preserve">à chaque changement de configuration et lors de la sauvegarde quotidienne.</w:t>
      </w:r>
    </w:p>
    <w:p>
      <w:pPr>
        <w:pStyle w:val="Compact"/>
        <w:numPr>
          <w:ilvl w:val="0"/>
          <w:numId w:val="1036"/>
        </w:numPr>
      </w:pPr>
      <w:r>
        <w:rPr>
          <w:b/>
          <w:bCs/>
        </w:rPr>
        <w:t xml:space="preserve">Versionnement</w:t>
      </w:r>
      <w:r>
        <w:t xml:space="preserve"> </w:t>
      </w:r>
      <w:r>
        <w:t xml:space="preserve">recommandé des fichiers de configuration (hors secrets) dans un dépôt interne du Client.</w:t>
      </w:r>
    </w:p>
    <w:p>
      <w:pPr>
        <w:pStyle w:val="Compact"/>
        <w:numPr>
          <w:ilvl w:val="0"/>
          <w:numId w:val="1036"/>
        </w:numPr>
      </w:pPr>
      <w:r>
        <w:t xml:space="preserve">Les</w:t>
      </w:r>
      <w:r>
        <w:t xml:space="preserve"> </w:t>
      </w:r>
      <w:r>
        <w:rPr>
          <w:b/>
          <w:bCs/>
        </w:rPr>
        <w:t xml:space="preserve">secrets</w:t>
      </w:r>
      <w:r>
        <w:t xml:space="preserve"> </w:t>
      </w:r>
      <w:r>
        <w:t xml:space="preserve">(mots de passe, clés) ne doivent</w:t>
      </w:r>
      <w:r>
        <w:t xml:space="preserve"> </w:t>
      </w:r>
      <w:r>
        <w:rPr>
          <w:b/>
          <w:bCs/>
        </w:rPr>
        <w:t xml:space="preserve">jamais</w:t>
      </w:r>
      <w:r>
        <w:t xml:space="preserve"> </w:t>
      </w:r>
      <w:r>
        <w:t xml:space="preserve">figurer en clair dans un dépôt ; ils vivent dans les</w:t>
      </w:r>
      <w:r>
        <w:t xml:space="preserve"> </w:t>
      </w:r>
      <w:r>
        <w:rPr>
          <w:rStyle w:val="VerbatimChar"/>
        </w:rPr>
        <w:t xml:space="preserve">.env</w:t>
      </w:r>
      <w:r>
        <w:t xml:space="preserve"> </w:t>
      </w:r>
      <w:r>
        <w:t xml:space="preserve">protégés ou un coffre</w:t>
      </w:r>
      <w:r>
        <w:t xml:space="preserve"> </w:t>
      </w:r>
      <w:r>
        <w:rPr>
          <w:rStyle w:val="VerbatimChar"/>
        </w:rPr>
        <w:t xml:space="preserve">[À RENSEIGNER]</w:t>
      </w:r>
      <w:r>
        <w:t xml:space="preserve">.</w:t>
      </w:r>
    </w:p>
    <w:p>
      <w:r>
        <w:pict>
          <v:rect style="width:0;height:1.5pt" o:hralign="center" o:hrstd="t" o:hr="t"/>
        </w:pict>
      </w:r>
    </w:p>
    <w:bookmarkEnd w:id="125"/>
    <w:bookmarkStart w:id="126" w:name="expl-08--sauvegarde-des-données"/>
    <w:p>
      <w:pPr>
        <w:pStyle w:val="Heading2"/>
      </w:pPr>
      <w:r>
        <w:t xml:space="preserve">EXPL-08 — Sauvegarde des données</w:t>
      </w:r>
    </w:p>
    <w:p>
      <w:pPr>
        <w:pStyle w:val="FirstParagraph"/>
      </w:pPr>
      <w:r>
        <w:rPr>
          <w:b/>
          <w:bCs/>
        </w:rPr>
        <w:t xml:space="preserve">Objectif :</w:t>
      </w:r>
      <w:r>
        <w:t xml:space="preserve"> </w:t>
      </w:r>
      <w:r>
        <w:t xml:space="preserve">garantir la restaurabilité des données (RPO ≤ 24 h).</w:t>
      </w:r>
    </w:p>
    <w:p>
      <w:pPr>
        <w:pStyle w:val="BodyText"/>
      </w:pPr>
      <w:r>
        <w:rPr>
          <w:b/>
          <w:bCs/>
        </w:rPr>
        <w:t xml:space="preserve">Contenu sauvegardé :</w:t>
      </w:r>
    </w:p>
    <w:p>
      <w:pPr>
        <w:pStyle w:val="Compact"/>
        <w:numPr>
          <w:ilvl w:val="0"/>
          <w:numId w:val="1037"/>
        </w:numPr>
      </w:pPr>
      <w:r>
        <w:rPr>
          <w:b/>
          <w:bCs/>
        </w:rPr>
        <w:t xml:space="preserve">Dump PostgreSQL</w:t>
      </w:r>
      <w:r>
        <w:t xml:space="preserve"> </w:t>
      </w:r>
      <w:r>
        <w:t xml:space="preserve">(toutes organisations, schéma-par-organisation).</w:t>
      </w:r>
    </w:p>
    <w:p>
      <w:pPr>
        <w:pStyle w:val="Compact"/>
        <w:numPr>
          <w:ilvl w:val="0"/>
          <w:numId w:val="1037"/>
        </w:numPr>
      </w:pPr>
      <w:r>
        <w:rPr>
          <w:b/>
          <w:bCs/>
        </w:rPr>
        <w:t xml:space="preserve">Volumes de stockage</w:t>
      </w:r>
      <w:r>
        <w:t xml:space="preserve"> </w:t>
      </w:r>
      <w:r>
        <w:t xml:space="preserve">: fichiers audio, documents, exports.</w:t>
      </w:r>
    </w:p>
    <w:p>
      <w:pPr>
        <w:pStyle w:val="FirstParagraph"/>
      </w:pPr>
      <w:r>
        <w:rPr>
          <w:b/>
          <w:bCs/>
        </w:rPr>
        <w:t xml:space="preserve">Chiffrement :</w:t>
      </w:r>
      <w:r>
        <w:t xml:space="preserve"> </w:t>
      </w:r>
      <w:r>
        <w:t xml:space="preserve">les sauvegardes sont</w:t>
      </w:r>
      <w:r>
        <w:t xml:space="preserve"> </w:t>
      </w:r>
      <w:r>
        <w:rPr>
          <w:b/>
          <w:bCs/>
        </w:rPr>
        <w:t xml:space="preserve">chiffrées avant écriture</w:t>
      </w:r>
      <w:r>
        <w:t xml:space="preserve"> </w:t>
      </w:r>
      <w:r>
        <w:t xml:space="preserve">avec</w:t>
      </w:r>
      <w:r>
        <w:t xml:space="preserve"> </w:t>
      </w:r>
      <w:r>
        <w:rPr>
          <w:rStyle w:val="VerbatimChar"/>
        </w:rPr>
        <w:t xml:space="preserve">age</w:t>
      </w:r>
      <w:r>
        <w:t xml:space="preserve"> </w:t>
      </w:r>
      <w:r>
        <w:t xml:space="preserve">(X25519 + ChaCha20-Poly1305). La clé publique de chiffrement est déployée sur le serveur ; la</w:t>
      </w:r>
      <w:r>
        <w:t xml:space="preserve"> </w:t>
      </w:r>
      <w:r>
        <w:rPr>
          <w:b/>
          <w:bCs/>
        </w:rPr>
        <w:t xml:space="preserve">clé privée est détenue par le Client</w:t>
      </w:r>
      <w:r>
        <w:t xml:space="preserve">, conservée hors des serveurs sauvegardés.</w:t>
      </w:r>
    </w:p>
    <w:p>
      <w:pPr>
        <w:pStyle w:val="BodyText"/>
      </w:pPr>
      <w:r>
        <w:rPr>
          <w:b/>
          <w:bCs/>
        </w:rPr>
        <w:t xml:space="preserve">Procédure de référence :</w:t>
      </w:r>
    </w:p>
    <w:p>
      <w:pPr>
        <w:pStyle w:val="SourceCode"/>
      </w:pPr>
      <w:r>
        <w:rPr>
          <w:rStyle w:val="CommentTok"/>
        </w:rPr>
        <w:t xml:space="preserve"># Sauvegarde chiffrée (script fourni, à figer à l'implantation)</w:t>
      </w:r>
      <w:r>
        <w:br/>
      </w:r>
      <w:r>
        <w:rPr>
          <w:rStyle w:val="ExtensionTok"/>
        </w:rPr>
        <w:t xml:space="preserve">[À</w:t>
      </w:r>
      <w:r>
        <w:rPr>
          <w:rStyle w:val="NormalTok"/>
        </w:rPr>
        <w:t xml:space="preserve"> RENSEIGNER : ex. ./scripts/backup-offsite.sh]</w:t>
      </w:r>
    </w:p>
    <w:p>
      <w:pPr>
        <w:pStyle w:val="FirstParagraph"/>
      </w:pPr>
      <w:r>
        <w:rPr>
          <w:b/>
          <w:bCs/>
        </w:rPr>
        <w:t xml:space="preserve">Rythme et rétention :</w:t>
      </w:r>
    </w:p>
    <w:p>
      <w:pPr>
        <w:pStyle w:val="Compact"/>
        <w:numPr>
          <w:ilvl w:val="0"/>
          <w:numId w:val="1038"/>
        </w:numPr>
      </w:pPr>
      <w:r>
        <w:rPr>
          <w:b/>
          <w:bCs/>
        </w:rPr>
        <w:t xml:space="preserve">Quotidienne</w:t>
      </w:r>
      <w:r>
        <w:t xml:space="preserve"> </w:t>
      </w:r>
      <w:r>
        <w:t xml:space="preserve">(sauvegarde complète).</w:t>
      </w:r>
    </w:p>
    <w:p>
      <w:pPr>
        <w:pStyle w:val="Compact"/>
        <w:numPr>
          <w:ilvl w:val="0"/>
          <w:numId w:val="1038"/>
        </w:numPr>
      </w:pPr>
      <w:r>
        <w:t xml:space="preserve">Rétention :</w:t>
      </w:r>
      <w:r>
        <w:t xml:space="preserve"> </w:t>
      </w:r>
      <w:r>
        <w:rPr>
          <w:b/>
          <w:bCs/>
        </w:rPr>
        <w:t xml:space="preserve">90 jours</w:t>
      </w:r>
      <w:r>
        <w:t xml:space="preserve"> </w:t>
      </w:r>
      <w:r>
        <w:t xml:space="preserve">(complètes),</w:t>
      </w:r>
      <w:r>
        <w:t xml:space="preserve"> </w:t>
      </w:r>
      <w:r>
        <w:rPr>
          <w:b/>
          <w:bCs/>
        </w:rPr>
        <w:t xml:space="preserve">30 jours</w:t>
      </w:r>
      <w:r>
        <w:t xml:space="preserve"> </w:t>
      </w:r>
      <w:r>
        <w:t xml:space="preserve">par organisation.</w:t>
      </w:r>
    </w:p>
    <w:p>
      <w:pPr>
        <w:pStyle w:val="Compact"/>
        <w:numPr>
          <w:ilvl w:val="0"/>
          <w:numId w:val="1038"/>
        </w:numPr>
      </w:pPr>
      <w:r>
        <w:t xml:space="preserve">Destination : stockage de sauvegarde interne au Client (en variante isolée,</w:t>
      </w:r>
      <w:r>
        <w:t xml:space="preserve"> </w:t>
      </w:r>
      <w:r>
        <w:rPr>
          <w:b/>
          <w:bCs/>
        </w:rPr>
        <w:t xml:space="preserve">pas d'externalisation cloud</w:t>
      </w:r>
      <w:r>
        <w:t xml:space="preserve">).</w:t>
      </w:r>
    </w:p>
    <w:p>
      <w:pPr>
        <w:pStyle w:val="FirstParagraph"/>
      </w:pPr>
      <w:r>
        <w:rPr>
          <w:b/>
          <w:bCs/>
        </w:rPr>
        <w:t xml:space="preserve">Granularité :</w:t>
      </w:r>
      <w:r>
        <w:t xml:space="preserve"> </w:t>
      </w:r>
      <w:r>
        <w:t xml:space="preserve">la sauvegarde/restauration est</w:t>
      </w:r>
      <w:r>
        <w:t xml:space="preserve"> </w:t>
      </w:r>
      <w:r>
        <w:rPr>
          <w:b/>
          <w:bCs/>
        </w:rPr>
        <w:t xml:space="preserve">granulaire par organisation</w:t>
      </w:r>
      <w:r>
        <w:t xml:space="preserve"> </w:t>
      </w:r>
      <w:r>
        <w:t xml:space="preserve">(schéma PostgreSQL dédié), ce qui permet une reprise ciblée.</w:t>
      </w:r>
    </w:p>
    <w:p>
      <w:r>
        <w:pict>
          <v:rect style="width:0;height:1.5pt" o:hralign="center" o:hrstd="t" o:hr="t"/>
        </w:pict>
      </w:r>
    </w:p>
    <w:bookmarkEnd w:id="126"/>
    <w:bookmarkStart w:id="127" w:name="expl-09--restauration-des-données"/>
    <w:p>
      <w:pPr>
        <w:pStyle w:val="Heading2"/>
      </w:pPr>
      <w:r>
        <w:t xml:space="preserve">EXPL-09 — Restauration des données</w:t>
      </w:r>
    </w:p>
    <w:p>
      <w:pPr>
        <w:pStyle w:val="FirstParagraph"/>
      </w:pPr>
      <w:r>
        <w:rPr>
          <w:b/>
          <w:bCs/>
        </w:rPr>
        <w:t xml:space="preserve">Objectif :</w:t>
      </w:r>
      <w:r>
        <w:t xml:space="preserve"> </w:t>
      </w:r>
      <w:r>
        <w:t xml:space="preserve">restaurer tout ou partie des données de façon sûre.</w:t>
      </w:r>
    </w:p>
    <w:p>
      <w:pPr>
        <w:pStyle w:val="BodyText"/>
      </w:pPr>
      <w:r>
        <w:rPr>
          <w:b/>
          <w:bCs/>
        </w:rPr>
        <w:t xml:space="preserve">Principe de sécurité — snapshot anti-écrasement :</w:t>
      </w:r>
      <w:r>
        <w:t xml:space="preserve"> </w:t>
      </w:r>
      <w:r>
        <w:t xml:space="preserve">avant toute restauration, un</w:t>
      </w:r>
      <w:r>
        <w:t xml:space="preserve"> </w:t>
      </w:r>
      <w:r>
        <w:rPr>
          <w:b/>
          <w:bCs/>
        </w:rPr>
        <w:t xml:space="preserve">snapshot de l'état courant</w:t>
      </w:r>
      <w:r>
        <w:t xml:space="preserve"> </w:t>
      </w:r>
      <w:r>
        <w:t xml:space="preserve">est réalisé pour éviter tout écrasement irréversible.</w:t>
      </w:r>
    </w:p>
    <w:p>
      <w:pPr>
        <w:pStyle w:val="BodyText"/>
      </w:pPr>
      <w:r>
        <w:rPr>
          <w:b/>
          <w:bCs/>
        </w:rPr>
        <w:t xml:space="preserve">Procédure de référence :</w:t>
      </w:r>
    </w:p>
    <w:p>
      <w:pPr>
        <w:pStyle w:val="SourceCode"/>
      </w:pPr>
      <w:r>
        <w:rPr>
          <w:rStyle w:val="CommentTok"/>
        </w:rPr>
        <w:t xml:space="preserve"># 1. Snapshot de sécurité de l'état courant (automatique dans le script)</w:t>
      </w:r>
      <w:r>
        <w:br/>
      </w:r>
      <w:r>
        <w:rPr>
          <w:rStyle w:val="CommentTok"/>
        </w:rPr>
        <w:t xml:space="preserve"># 2. Déchiffrement (clé age privée du Client requise)</w:t>
      </w:r>
      <w:r>
        <w:br/>
      </w:r>
      <w:r>
        <w:rPr>
          <w:rStyle w:val="CommentTok"/>
        </w:rPr>
        <w:t xml:space="preserve"># 3. Restauration</w:t>
      </w:r>
      <w:r>
        <w:br/>
      </w:r>
      <w:r>
        <w:rPr>
          <w:rStyle w:val="ExtensionTok"/>
        </w:rPr>
        <w:t xml:space="preserve">[À</w:t>
      </w:r>
      <w:r>
        <w:rPr>
          <w:rStyle w:val="NormalTok"/>
        </w:rPr>
        <w:t xml:space="preserve"> RENSEIGNER : ex. ./scripts/restore-from-offsite.sh </w:t>
      </w:r>
      <w:r>
        <w:rPr>
          <w:rStyle w:val="OperatorTok"/>
        </w:rPr>
        <w:t xml:space="preserve">&lt;</w:t>
      </w:r>
      <w:r>
        <w:rPr>
          <w:rStyle w:val="NormalTok"/>
        </w:rPr>
        <w:t xml:space="preserve">archive</w:t>
      </w:r>
      <w:r>
        <w:rPr>
          <w:rStyle w:val="OperatorTok"/>
        </w:rPr>
        <w:t xml:space="preserve">&gt;</w:t>
      </w:r>
      <w:r>
        <w:rPr>
          <w:rStyle w:val="NormalTok"/>
        </w:rPr>
        <w:t xml:space="preserve"> [--org </w:t>
      </w:r>
      <w:r>
        <w:rPr>
          <w:rStyle w:val="OperatorTok"/>
        </w:rPr>
        <w:t xml:space="preserve">&lt;</w:t>
      </w:r>
      <w:r>
        <w:rPr>
          <w:rStyle w:val="NormalTok"/>
        </w:rPr>
        <w:t xml:space="preserve">schema</w:t>
      </w:r>
      <w:r>
        <w:rPr>
          <w:rStyle w:val="OperatorTok"/>
        </w:rPr>
        <w:t xml:space="preserve">&gt;</w:t>
      </w:r>
      <w:r>
        <w:rPr>
          <w:rStyle w:val="NormalTok"/>
        </w:rPr>
        <w:t xml:space="preserve">]]</w:t>
      </w:r>
      <w:r>
        <w:br/>
      </w:r>
      <w:r>
        <w:rPr>
          <w:rStyle w:val="CommentTok"/>
        </w:rPr>
        <w:t xml:space="preserve"># 4. Vérification d'intégrité (voir EXPL-03)</w:t>
      </w:r>
    </w:p>
    <w:p>
      <w:pPr>
        <w:pStyle w:val="FirstParagraph"/>
      </w:pPr>
      <w:r>
        <w:rPr>
          <w:b/>
          <w:bCs/>
        </w:rPr>
        <w:t xml:space="preserve">Restauration granulaire :</w:t>
      </w:r>
      <w:r>
        <w:t xml:space="preserve"> </w:t>
      </w:r>
      <w:r>
        <w:t xml:space="preserve">l'option</w:t>
      </w:r>
      <w:r>
        <w:t xml:space="preserve"> </w:t>
      </w:r>
      <w:r>
        <w:rPr>
          <w:rStyle w:val="VerbatimChar"/>
        </w:rPr>
        <w:t xml:space="preserve">--org &lt;schema&gt;</w:t>
      </w:r>
      <w:r>
        <w:t xml:space="preserve"> </w:t>
      </w:r>
      <w:r>
        <w:t xml:space="preserve">(ou équivalent) restaure une</w:t>
      </w:r>
      <w:r>
        <w:t xml:space="preserve"> </w:t>
      </w:r>
      <w:r>
        <w:rPr>
          <w:b/>
          <w:bCs/>
        </w:rPr>
        <w:t xml:space="preserve">seule organisation</w:t>
      </w:r>
      <w:r>
        <w:t xml:space="preserve"> </w:t>
      </w:r>
      <w:r>
        <w:t xml:space="preserve">sans toucher aux autres.</w:t>
      </w:r>
    </w:p>
    <w:p>
      <w:pPr>
        <w:pStyle w:val="BodyText"/>
      </w:pPr>
      <w:r>
        <w:rPr>
          <w:b/>
          <w:bCs/>
        </w:rPr>
        <w:t xml:space="preserve">Test de restauration :</w:t>
      </w:r>
      <w:r>
        <w:t xml:space="preserve"> </w:t>
      </w:r>
      <w:r>
        <w:t xml:space="preserve">un</w:t>
      </w:r>
      <w:r>
        <w:t xml:space="preserve"> </w:t>
      </w:r>
      <w:r>
        <w:rPr>
          <w:b/>
          <w:bCs/>
        </w:rPr>
        <w:t xml:space="preserve">test de restauration périodique</w:t>
      </w:r>
      <w:r>
        <w:t xml:space="preserve"> </w:t>
      </w:r>
      <w:r>
        <w:t xml:space="preserve">est</w:t>
      </w:r>
      <w:r>
        <w:t xml:space="preserve"> </w:t>
      </w:r>
      <w:r>
        <w:rPr>
          <w:b/>
          <w:bCs/>
        </w:rPr>
        <w:t xml:space="preserve">recommandé</w:t>
      </w:r>
      <w:r>
        <w:t xml:space="preserve"> </w:t>
      </w:r>
      <w:r>
        <w:t xml:space="preserve">(au minimum trimestriel), sur une organisation de test, avec vérification d'intégrité. Ce test alimente le cahier de recette (T-EXPL / T-BASCULE).</w:t>
      </w:r>
    </w:p>
    <w:p>
      <w:r>
        <w:pict>
          <v:rect style="width:0;height:1.5pt" o:hralign="center" o:hrstd="t" o:hr="t"/>
        </w:pict>
      </w:r>
    </w:p>
    <w:bookmarkEnd w:id="127"/>
    <w:bookmarkStart w:id="128" w:name="X21bbfe477be03a767150d07b102367141f8c55f"/>
    <w:p>
      <w:pPr>
        <w:pStyle w:val="Heading2"/>
      </w:pPr>
      <w:r>
        <w:t xml:space="preserve">EXPL-10 — Mise à jour applicative et rollback</w:t>
      </w:r>
    </w:p>
    <w:p>
      <w:pPr>
        <w:pStyle w:val="FirstParagraph"/>
      </w:pPr>
      <w:r>
        <w:rPr>
          <w:b/>
          <w:bCs/>
        </w:rPr>
        <w:t xml:space="preserve">Objectif :</w:t>
      </w:r>
      <w:r>
        <w:t xml:space="preserve"> </w:t>
      </w:r>
      <w:r>
        <w:t xml:space="preserve">déployer une nouvelle version de façon maîtrisée et pouvoir revenir en arrière.</w:t>
      </w:r>
    </w:p>
    <w:p>
      <w:pPr>
        <w:pStyle w:val="BodyText"/>
      </w:pPr>
      <w:r>
        <w:rPr>
          <w:b/>
          <w:bCs/>
        </w:rPr>
        <w:t xml:space="preserve">Principe :</w:t>
      </w:r>
      <w:r>
        <w:t xml:space="preserve"> </w:t>
      </w:r>
      <w:r>
        <w:t xml:space="preserve">déploiement</w:t>
      </w:r>
      <w:r>
        <w:t xml:space="preserve"> </w:t>
      </w:r>
      <w:r>
        <w:rPr>
          <w:b/>
          <w:bCs/>
        </w:rPr>
        <w:t xml:space="preserve">uniquement par version taguée</w:t>
      </w:r>
      <w:r>
        <w:t xml:space="preserve"> </w:t>
      </w:r>
      <w:r>
        <w:t xml:space="preserve">(pas de déploiement à partir d'une branche mouvante). En variante isolée, la version est fournie via le</w:t>
      </w:r>
      <w:r>
        <w:t xml:space="preserve"> </w:t>
      </w:r>
      <w:r>
        <w:rPr>
          <w:b/>
          <w:bCs/>
        </w:rPr>
        <w:t xml:space="preserve">dépôt / registre interne</w:t>
      </w:r>
      <w:r>
        <w:t xml:space="preserve"> </w:t>
      </w:r>
      <w:r>
        <w:t xml:space="preserve">(EXPL-13 / DCD §11.5).</w:t>
      </w:r>
    </w:p>
    <w:p>
      <w:pPr>
        <w:pStyle w:val="BodyText"/>
      </w:pPr>
      <w:r>
        <w:rPr>
          <w:b/>
          <w:bCs/>
        </w:rPr>
        <w:t xml:space="preserve">Procédure de référence :</w:t>
      </w:r>
    </w:p>
    <w:p>
      <w:pPr>
        <w:pStyle w:val="SourceCode"/>
      </w:pPr>
      <w:r>
        <w:rPr>
          <w:rStyle w:val="BuiltInTok"/>
        </w:rPr>
        <w:t xml:space="preserve">cd</w:t>
      </w:r>
      <w:r>
        <w:rPr>
          <w:rStyle w:val="NormalTok"/>
        </w:rPr>
        <w:t xml:space="preserve"> [À RENSEIGNER]</w:t>
      </w:r>
      <w:r>
        <w:br/>
      </w:r>
      <w:r>
        <w:rPr>
          <w:rStyle w:val="CommentTok"/>
        </w:rPr>
        <w:t xml:space="preserve"># 1. Récupérer la version cible (tag) depuis le dépôt interne</w:t>
      </w:r>
      <w:r>
        <w:br/>
      </w:r>
      <w:r>
        <w:rPr>
          <w:rStyle w:val="CommentTok"/>
        </w:rPr>
        <w:t xml:space="preserve"># 2. Reconstruire / recharger les images applicatives</w:t>
      </w:r>
      <w:r>
        <w:br/>
      </w:r>
      <w:r>
        <w:rPr>
          <w:rStyle w:val="ExtensionTok"/>
        </w:rPr>
        <w:t xml:space="preserve">docker</w:t>
      </w:r>
      <w:r>
        <w:rPr>
          <w:rStyle w:val="NormalTok"/>
        </w:rPr>
        <w:t xml:space="preserve"> compose build app</w:t>
      </w:r>
      <w:r>
        <w:br/>
      </w:r>
      <w:r>
        <w:rPr>
          <w:rStyle w:val="CommentTok"/>
        </w:rPr>
        <w:t xml:space="preserve"># 3. Appliquer les migrations de base de données</w:t>
      </w:r>
      <w:r>
        <w:br/>
      </w:r>
      <w:r>
        <w:rPr>
          <w:rStyle w:val="ExtensionTok"/>
        </w:rPr>
        <w:t xml:space="preserve">docker</w:t>
      </w:r>
      <w:r>
        <w:rPr>
          <w:rStyle w:val="NormalTok"/>
        </w:rPr>
        <w:t xml:space="preserve"> compose exec app php artisan migrate </w:t>
      </w:r>
      <w:r>
        <w:rPr>
          <w:rStyle w:val="AttributeTok"/>
        </w:rPr>
        <w:t xml:space="preserve">--force</w:t>
      </w:r>
      <w:r>
        <w:br/>
      </w:r>
      <w:r>
        <w:rPr>
          <w:rStyle w:val="CommentTok"/>
        </w:rPr>
        <w:t xml:space="preserve"># 4. Vider les caches</w:t>
      </w:r>
      <w:r>
        <w:br/>
      </w:r>
      <w:r>
        <w:rPr>
          <w:rStyle w:val="ExtensionTok"/>
        </w:rPr>
        <w:t xml:space="preserve">docker</w:t>
      </w:r>
      <w:r>
        <w:rPr>
          <w:rStyle w:val="NormalTok"/>
        </w:rPr>
        <w:t xml:space="preserve"> compose exec app php artisan config:clear</w:t>
      </w:r>
      <w:r>
        <w:br/>
      </w:r>
      <w:r>
        <w:rPr>
          <w:rStyle w:val="ExtensionTok"/>
        </w:rPr>
        <w:t xml:space="preserve">docker</w:t>
      </w:r>
      <w:r>
        <w:rPr>
          <w:rStyle w:val="NormalTok"/>
        </w:rPr>
        <w:t xml:space="preserve"> compose exec app php artisan cache:clear</w:t>
      </w:r>
      <w:r>
        <w:br/>
      </w:r>
      <w:r>
        <w:rPr>
          <w:rStyle w:val="CommentTok"/>
        </w:rPr>
        <w:t xml:space="preserve"># 5. (si build frontend) reconstruire le frontend</w:t>
      </w:r>
      <w:r>
        <w:br/>
      </w:r>
      <w:r>
        <w:rPr>
          <w:rStyle w:val="CommentTok"/>
        </w:rPr>
        <w:t xml:space="preserve"># 6. Redémarrer app + workers</w:t>
      </w:r>
      <w:r>
        <w:br/>
      </w:r>
      <w:r>
        <w:rPr>
          <w:rStyle w:val="ExtensionTok"/>
        </w:rPr>
        <w:t xml:space="preserve">docker</w:t>
      </w:r>
      <w:r>
        <w:rPr>
          <w:rStyle w:val="NormalTok"/>
        </w:rPr>
        <w:t xml:space="preserve"> compose restart app queue queue-ai queue-media</w:t>
      </w:r>
      <w:r>
        <w:br/>
      </w:r>
      <w:r>
        <w:rPr>
          <w:rStyle w:val="CommentTok"/>
        </w:rPr>
        <w:t xml:space="preserve"># 7. IMPÉRATIF : redémarrer nginx APRÈS app (sinon 502 Bad Gateway)</w:t>
      </w:r>
      <w:r>
        <w:br/>
      </w:r>
      <w:r>
        <w:rPr>
          <w:rStyle w:val="FunctionTok"/>
        </w:rPr>
        <w:t xml:space="preserve">sleep</w:t>
      </w:r>
      <w:r>
        <w:rPr>
          <w:rStyle w:val="NormalTok"/>
        </w:rPr>
        <w:t xml:space="preserve"> 2 </w:t>
      </w:r>
      <w:r>
        <w:rPr>
          <w:rStyle w:val="KeywordTok"/>
        </w:rPr>
        <w:t xml:space="preserve">&amp;&amp;</w:t>
      </w:r>
      <w:r>
        <w:rPr>
          <w:rStyle w:val="NormalTok"/>
        </w:rPr>
        <w:t xml:space="preserve"> </w:t>
      </w:r>
      <w:r>
        <w:rPr>
          <w:rStyle w:val="ExtensionTok"/>
        </w:rPr>
        <w:t xml:space="preserve">docker</w:t>
      </w:r>
      <w:r>
        <w:rPr>
          <w:rStyle w:val="NormalTok"/>
        </w:rPr>
        <w:t xml:space="preserve"> compose restart nginx</w:t>
      </w:r>
    </w:p>
    <w:p>
      <w:pPr>
        <w:pStyle w:val="BlockText"/>
      </w:pPr>
      <w:r>
        <w:rPr>
          <w:b/>
          <w:bCs/>
        </w:rPr>
        <w:t xml:space="preserve">Piège 502 récurrent.</w:t>
      </w:r>
      <w:r>
        <w:t xml:space="preserve"> </w:t>
      </w:r>
      <w:r>
        <w:rPr>
          <w:rStyle w:val="VerbatimChar"/>
        </w:rPr>
        <w:t xml:space="preserve">docker compose restart app</w:t>
      </w:r>
      <w:r>
        <w:t xml:space="preserve"> </w:t>
      </w:r>
      <w:r>
        <w:t xml:space="preserve">coupe puis relance PHP-FPM ; nginx garde d'anciennes connexions mortes vers</w:t>
      </w:r>
      <w:r>
        <w:t xml:space="preserve"> </w:t>
      </w:r>
      <w:r>
        <w:rPr>
          <w:rStyle w:val="VerbatimChar"/>
        </w:rPr>
        <w:t xml:space="preserve">app:9000</w:t>
      </w:r>
      <w:r>
        <w:t xml:space="preserve"> </w:t>
      </w:r>
      <w:r>
        <w:t xml:space="preserve">→ 502.</w:t>
      </w:r>
      <w:r>
        <w:t xml:space="preserve"> </w:t>
      </w:r>
      <w:r>
        <w:rPr>
          <w:b/>
          <w:bCs/>
        </w:rPr>
        <w:t xml:space="preserve">Toujours</w:t>
      </w:r>
      <w:r>
        <w:t xml:space="preserve"> </w:t>
      </w:r>
      <w:r>
        <w:t xml:space="preserve">enchaîner</w:t>
      </w:r>
      <w:r>
        <w:t xml:space="preserve"> </w:t>
      </w:r>
      <w:r>
        <w:rPr>
          <w:rStyle w:val="VerbatimChar"/>
        </w:rPr>
        <w:t xml:space="preserve">docker compose restart nginx</w:t>
      </w:r>
      <w:r>
        <w:t xml:space="preserve"> </w:t>
      </w:r>
      <w:r>
        <w:t xml:space="preserve">après le redémarrage de app et des workers.</w:t>
      </w:r>
    </w:p>
    <w:p>
      <w:pPr>
        <w:pStyle w:val="FirstParagraph"/>
      </w:pPr>
      <w:r>
        <w:rPr>
          <w:b/>
          <w:bCs/>
        </w:rPr>
        <w:t xml:space="preserve">Rollback :</w:t>
      </w:r>
    </w:p>
    <w:p>
      <w:pPr>
        <w:pStyle w:val="SourceCode"/>
      </w:pPr>
      <w:r>
        <w:rPr>
          <w:rStyle w:val="CommentTok"/>
        </w:rPr>
        <w:t xml:space="preserve"># Revenir à la version (tag) précédente et rejouer la procédure</w:t>
      </w:r>
      <w:r>
        <w:br/>
      </w:r>
      <w:r>
        <w:rPr>
          <w:rStyle w:val="CommentTok"/>
        </w:rPr>
        <w:t xml:space="preserve"># La compatibilité descendante des migrations doit être vérifiée avant tout downgrade ;</w:t>
      </w:r>
      <w:r>
        <w:br/>
      </w:r>
      <w:r>
        <w:rPr>
          <w:rStyle w:val="CommentTok"/>
        </w:rPr>
        <w:t xml:space="preserve"># en cas de doute, restaurer la sauvegarde d'avant mise à jour (EXPL-09).</w:t>
      </w:r>
    </w:p>
    <w:p>
      <w:pPr>
        <w:pStyle w:val="FirstParagraph"/>
      </w:pPr>
      <w:r>
        <w:rPr>
          <w:b/>
          <w:bCs/>
        </w:rPr>
        <w:t xml:space="preserve">Bonnes pratiques :</w:t>
      </w:r>
    </w:p>
    <w:p>
      <w:pPr>
        <w:pStyle w:val="Compact"/>
        <w:numPr>
          <w:ilvl w:val="0"/>
          <w:numId w:val="1039"/>
        </w:numPr>
      </w:pPr>
      <w:r>
        <w:t xml:space="preserve">Mise à jour d'abord validée sur le</w:t>
      </w:r>
      <w:r>
        <w:t xml:space="preserve"> </w:t>
      </w:r>
      <w:r>
        <w:rPr>
          <w:b/>
          <w:bCs/>
        </w:rPr>
        <w:t xml:space="preserve">standby Salle B</w:t>
      </w:r>
      <w:r>
        <w:t xml:space="preserve"> </w:t>
      </w:r>
      <w:r>
        <w:t xml:space="preserve">ou un environnement de recette si disponible.</w:t>
      </w:r>
    </w:p>
    <w:p>
      <w:pPr>
        <w:pStyle w:val="Compact"/>
        <w:numPr>
          <w:ilvl w:val="0"/>
          <w:numId w:val="1039"/>
        </w:numPr>
      </w:pPr>
      <w:r>
        <w:rPr>
          <w:b/>
          <w:bCs/>
        </w:rPr>
        <w:t xml:space="preserve">Sauvegarde préalable</w:t>
      </w:r>
      <w:r>
        <w:t xml:space="preserve"> </w:t>
      </w:r>
      <w:r>
        <w:t xml:space="preserve">systématique (EXPL-08) avant toute mise à jour.</w:t>
      </w:r>
    </w:p>
    <w:p>
      <w:pPr>
        <w:pStyle w:val="Compact"/>
        <w:numPr>
          <w:ilvl w:val="0"/>
          <w:numId w:val="1039"/>
        </w:numPr>
      </w:pPr>
      <w:r>
        <w:t xml:space="preserve">Vérification de santé post-déploiement (EXPL-03).</w:t>
      </w:r>
    </w:p>
    <w:p>
      <w:r>
        <w:pict>
          <v:rect style="width:0;height:1.5pt" o:hralign="center" o:hrstd="t" o:hr="t"/>
        </w:pict>
      </w:r>
    </w:p>
    <w:bookmarkEnd w:id="128"/>
    <w:bookmarkStart w:id="129" w:name="X166f4355a0cfd589e9fc4046b173033572981c2"/>
    <w:p>
      <w:pPr>
        <w:pStyle w:val="Heading2"/>
      </w:pPr>
      <w:r>
        <w:t xml:space="preserve">EXPL-11 — Renouvellement des certificats TLS</w:t>
      </w:r>
    </w:p>
    <w:p>
      <w:pPr>
        <w:pStyle w:val="FirstParagraph"/>
      </w:pPr>
      <w:r>
        <w:rPr>
          <w:b/>
          <w:bCs/>
        </w:rPr>
        <w:t xml:space="preserve">Objectif :</w:t>
      </w:r>
      <w:r>
        <w:t xml:space="preserve"> </w:t>
      </w:r>
      <w:r>
        <w:t xml:space="preserve">maintenir la validité des certificats du point d'entrée HTTPS.</w:t>
      </w:r>
    </w:p>
    <w:p>
      <w:pPr>
        <w:pStyle w:val="BodyText"/>
      </w:pPr>
      <w:r>
        <w:rPr>
          <w:b/>
          <w:bCs/>
        </w:rPr>
        <w:t xml:space="preserve">Contexte on-premise isolé :</w:t>
      </w:r>
      <w:r>
        <w:t xml:space="preserve"> </w:t>
      </w:r>
      <w:r>
        <w:t xml:space="preserve">en l'absence d'Internet,</w:t>
      </w:r>
      <w:r>
        <w:t xml:space="preserve"> </w:t>
      </w:r>
      <w:r>
        <w:rPr>
          <w:b/>
          <w:bCs/>
        </w:rPr>
        <w:t xml:space="preserve">Let's Encrypt n'est pas utilisable</w:t>
      </w:r>
      <w:r>
        <w:t xml:space="preserve">. Les certificats sont émis par la</w:t>
      </w:r>
      <w:r>
        <w:t xml:space="preserve"> </w:t>
      </w:r>
      <w:r>
        <w:rPr>
          <w:b/>
          <w:bCs/>
        </w:rPr>
        <w:t xml:space="preserve">PKI interne du Client</w:t>
      </w:r>
      <w:r>
        <w:t xml:space="preserve"> </w:t>
      </w:r>
      <w:r>
        <w:rPr>
          <w:rStyle w:val="VerbatimChar"/>
        </w:rPr>
        <w:t xml:space="preserve">[À RENSEIGNER : autorité de certification interne, procédure de délivrance et de renouvellement]</w:t>
      </w:r>
      <w:r>
        <w:t xml:space="preserve">.</w:t>
      </w:r>
    </w:p>
    <w:p>
      <w:pPr>
        <w:pStyle w:val="BodyText"/>
      </w:pPr>
      <w:r>
        <w:rPr>
          <w:b/>
          <w:bCs/>
        </w:rPr>
        <w:t xml:space="preserve">Procédure de référence :</w:t>
      </w:r>
    </w:p>
    <w:p>
      <w:pPr>
        <w:pStyle w:val="Compact"/>
        <w:numPr>
          <w:ilvl w:val="0"/>
          <w:numId w:val="1040"/>
        </w:numPr>
      </w:pPr>
      <w:r>
        <w:t xml:space="preserve">Générer une CSR (demande de certificat) pour le nom de service de la plateforme.</w:t>
      </w:r>
    </w:p>
    <w:p>
      <w:pPr>
        <w:pStyle w:val="Compact"/>
        <w:numPr>
          <w:ilvl w:val="0"/>
          <w:numId w:val="1040"/>
        </w:numPr>
      </w:pPr>
      <w:r>
        <w:t xml:space="preserve">Faire signer par l'autorité interne.</w:t>
      </w:r>
    </w:p>
    <w:p>
      <w:pPr>
        <w:pStyle w:val="Compact"/>
        <w:numPr>
          <w:ilvl w:val="0"/>
          <w:numId w:val="1040"/>
        </w:numPr>
      </w:pPr>
      <w:r>
        <w:t xml:space="preserve">Déployer certificat + clé sur le point de terminaison TLS (reverse proxy / pare-feu-LB) — chemins</w:t>
      </w:r>
      <w:r>
        <w:t xml:space="preserve"> </w:t>
      </w:r>
      <w:r>
        <w:rPr>
          <w:rStyle w:val="VerbatimChar"/>
        </w:rPr>
        <w:t xml:space="preserve">[À RENSEIGNER]</w:t>
      </w:r>
      <w:r>
        <w:t xml:space="preserve">.</w:t>
      </w:r>
    </w:p>
    <w:p>
      <w:pPr>
        <w:pStyle w:val="Compact"/>
        <w:numPr>
          <w:ilvl w:val="0"/>
          <w:numId w:val="1040"/>
        </w:numPr>
      </w:pPr>
      <w:r>
        <w:t xml:space="preserve">Recharger le service TLS.</w:t>
      </w:r>
    </w:p>
    <w:p>
      <w:pPr>
        <w:pStyle w:val="Compact"/>
        <w:numPr>
          <w:ilvl w:val="0"/>
          <w:numId w:val="1040"/>
        </w:numPr>
      </w:pPr>
      <w:r>
        <w:t xml:space="preserve">Vérifier (chaîne, date d'expiration, TLS ≥ 1.2, HSTS).</w:t>
      </w:r>
    </w:p>
    <w:p>
      <w:pPr>
        <w:pStyle w:val="FirstParagraph"/>
      </w:pPr>
      <w:r>
        <w:rPr>
          <w:b/>
          <w:bCs/>
        </w:rPr>
        <w:t xml:space="preserve">Surveillance :</w:t>
      </w:r>
      <w:r>
        <w:t xml:space="preserve"> </w:t>
      </w:r>
      <w:r>
        <w:t xml:space="preserve">l'expiration des certificats fait partie des points supervisés (EXPL-12). Alerter au moins</w:t>
      </w:r>
      <w:r>
        <w:t xml:space="preserve"> </w:t>
      </w:r>
      <w:r>
        <w:rPr>
          <w:b/>
          <w:bCs/>
        </w:rPr>
        <w:t xml:space="preserve">30 jours</w:t>
      </w:r>
      <w:r>
        <w:t xml:space="preserve"> </w:t>
      </w:r>
      <w:r>
        <w:t xml:space="preserve">avant expiration.</w:t>
      </w:r>
    </w:p>
    <w:p>
      <w:r>
        <w:pict>
          <v:rect style="width:0;height:1.5pt" o:hralign="center" o:hrstd="t" o:hr="t"/>
        </w:pict>
      </w:r>
    </w:p>
    <w:bookmarkEnd w:id="129"/>
    <w:bookmarkStart w:id="130" w:name="expl-12--supervision-et-alertes"/>
    <w:p>
      <w:pPr>
        <w:pStyle w:val="Heading2"/>
      </w:pPr>
      <w:r>
        <w:t xml:space="preserve">EXPL-12 — Supervision et alertes</w:t>
      </w:r>
    </w:p>
    <w:p>
      <w:pPr>
        <w:pStyle w:val="FirstParagraph"/>
      </w:pPr>
      <w:r>
        <w:rPr>
          <w:b/>
          <w:bCs/>
        </w:rPr>
        <w:t xml:space="preserve">Objectif :</w:t>
      </w:r>
      <w:r>
        <w:t xml:space="preserve"> </w:t>
      </w:r>
      <w:r>
        <w:t xml:space="preserve">détecter au plus tôt les dérives et incidents.</w:t>
      </w:r>
    </w:p>
    <w:p>
      <w:pPr>
        <w:pStyle w:val="BodyText"/>
      </w:pPr>
      <w:r>
        <w:rPr>
          <w:b/>
          <w:bCs/>
        </w:rPr>
        <w:t xml:space="preserve">Points à surveiller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Point</w:t>
            </w:r>
          </w:p>
        </w:tc>
        <w:tc>
          <w:tcPr/>
          <w:p>
            <w:pPr>
              <w:pStyle w:val="Compact"/>
            </w:pPr>
            <w:r>
              <w:t xml:space="preserve">Indicateur</w:t>
            </w:r>
          </w:p>
        </w:tc>
        <w:tc>
          <w:tcPr/>
          <w:p>
            <w:pPr>
              <w:pStyle w:val="Compact"/>
            </w:pPr>
            <w:r>
              <w:t xml:space="preserve">Seuil / alerte (proposé)</w:t>
            </w:r>
          </w:p>
        </w:tc>
      </w:tr>
      <w:tr>
        <w:tc>
          <w:tcPr/>
          <w:p>
            <w:pPr>
              <w:pStyle w:val="Compact"/>
            </w:pPr>
            <w:r>
              <w:t xml:space="preserve">Files d'attente</w:t>
            </w:r>
          </w:p>
        </w:tc>
        <w:tc>
          <w:tcPr/>
          <w:p>
            <w:pPr>
              <w:pStyle w:val="Compact"/>
            </w:pPr>
            <w:r>
              <w:t xml:space="preserve">Longueur, jobs en échec, âge du plus ancien job</w:t>
            </w:r>
          </w:p>
        </w:tc>
        <w:tc>
          <w:tcPr/>
          <w:p>
            <w:pPr>
              <w:pStyle w:val="Compact"/>
            </w:pPr>
            <w:r>
              <w:t xml:space="preserve">Accumulation anormale / jobs bloqués</w:t>
            </w:r>
          </w:p>
        </w:tc>
      </w:tr>
      <w:tr>
        <w:tc>
          <w:tcPr/>
          <w:p>
            <w:pPr>
              <w:pStyle w:val="Compact"/>
            </w:pPr>
            <w:r>
              <w:t xml:space="preserve">Espace disque</w:t>
            </w:r>
          </w:p>
        </w:tc>
        <w:tc>
          <w:tcPr/>
          <w:p>
            <w:pPr>
              <w:pStyle w:val="Compact"/>
            </w:pPr>
            <w:r>
              <w:t xml:space="preserve">% utilisé (données, sauvegardes, logs)</w:t>
            </w:r>
          </w:p>
        </w:tc>
        <w:tc>
          <w:tcPr/>
          <w:p>
            <w:pPr>
              <w:pStyle w:val="Compact"/>
            </w:pPr>
            <w:r>
              <w:t xml:space="preserve">Alerte à 80 %, critique à 90 %</w:t>
            </w:r>
          </w:p>
        </w:tc>
      </w:tr>
      <w:tr>
        <w:tc>
          <w:tcPr/>
          <w:p>
            <w:pPr>
              <w:pStyle w:val="Compact"/>
            </w:pPr>
            <w:r>
              <w:t xml:space="preserve">Certificats TLS</w:t>
            </w:r>
          </w:p>
        </w:tc>
        <w:tc>
          <w:tcPr/>
          <w:p>
            <w:pPr>
              <w:pStyle w:val="Compact"/>
            </w:pPr>
            <w:r>
              <w:t xml:space="preserve">Jours avant expiration</w:t>
            </w:r>
          </w:p>
        </w:tc>
        <w:tc>
          <w:tcPr/>
          <w:p>
            <w:pPr>
              <w:pStyle w:val="Compact"/>
            </w:pPr>
            <w:r>
              <w:t xml:space="preserve">Alerte à 30 jours</w:t>
            </w:r>
          </w:p>
        </w:tc>
      </w:tr>
      <w:tr>
        <w:tc>
          <w:tcPr/>
          <w:p>
            <w:pPr>
              <w:pStyle w:val="Compact"/>
            </w:pPr>
            <w:r>
              <w:t xml:space="preserve">Workers</w:t>
            </w:r>
          </w:p>
        </w:tc>
        <w:tc>
          <w:tcPr/>
          <w:p>
            <w:pPr>
              <w:pStyle w:val="Compact"/>
            </w:pPr>
            <w:r>
              <w:t xml:space="preserve">Processus</w:t>
            </w:r>
            <w:r>
              <w:t xml:space="preserve"> </w:t>
            </w:r>
            <w:r>
              <w:rPr>
                <w:rStyle w:val="VerbatimChar"/>
              </w:rPr>
              <w:t xml:space="preserve">queue:work</w:t>
            </w:r>
            <w:r>
              <w:t xml:space="preserve"> </w:t>
            </w:r>
            <w:r>
              <w:t xml:space="preserve">vivants</w:t>
            </w:r>
          </w:p>
        </w:tc>
        <w:tc>
          <w:tcPr/>
          <w:p>
            <w:pPr>
              <w:pStyle w:val="Compact"/>
            </w:pPr>
            <w:r>
              <w:t xml:space="preserve">Absence de processus</w:t>
            </w:r>
          </w:p>
        </w:tc>
      </w:tr>
      <w:tr>
        <w:tc>
          <w:tcPr/>
          <w:p>
            <w:pPr>
              <w:pStyle w:val="Compact"/>
            </w:pPr>
            <w:r>
              <w:t xml:space="preserve">Santé des conteneurs</w:t>
            </w:r>
          </w:p>
        </w:tc>
        <w:tc>
          <w:tcPr/>
          <w:p>
            <w:pPr>
              <w:pStyle w:val="Compact"/>
            </w:pPr>
            <w:r>
              <w:t xml:space="preserve">État</w:t>
            </w:r>
            <w:r>
              <w:t xml:space="preserve"> </w:t>
            </w:r>
            <w:r>
              <w:rPr>
                <w:rStyle w:val="VerbatimChar"/>
              </w:rPr>
              <w:t xml:space="preserve">healthy</w:t>
            </w:r>
          </w:p>
        </w:tc>
        <w:tc>
          <w:tcPr/>
          <w:p>
            <w:pPr>
              <w:pStyle w:val="Compact"/>
            </w:pPr>
            <w:r>
              <w:t xml:space="preserve">Conteneur non sain / redémarrages répétés</w:t>
            </w:r>
          </w:p>
        </w:tc>
      </w:tr>
      <w:tr>
        <w:tc>
          <w:tcPr/>
          <w:p>
            <w:pPr>
              <w:pStyle w:val="Compact"/>
            </w:pPr>
            <w:r>
              <w:t xml:space="preserve">Réplication (actif)</w:t>
            </w:r>
          </w:p>
        </w:tc>
        <w:tc>
          <w:tcPr/>
          <w:p>
            <w:pPr>
              <w:pStyle w:val="Compact"/>
            </w:pPr>
            <w:r>
              <w:t xml:space="preserve">Retard de réplication (lag) vers Salle B</w:t>
            </w:r>
          </w:p>
        </w:tc>
        <w:tc>
          <w:tcPr/>
          <w:p>
            <w:pPr>
              <w:pStyle w:val="Compact"/>
            </w:pPr>
            <w:r>
              <w:t xml:space="preserve">Lag &gt; seuil</w:t>
            </w:r>
            <w:r>
              <w:t xml:space="preserve"> </w:t>
            </w:r>
            <w:r>
              <w:rPr>
                <w:rStyle w:val="VerbatimChar"/>
              </w:rPr>
              <w:t xml:space="preserve">[À DÉFINIR en recette]</w:t>
            </w:r>
          </w:p>
        </w:tc>
      </w:tr>
      <w:tr>
        <w:tc>
          <w:tcPr/>
          <w:p>
            <w:pPr>
              <w:pStyle w:val="Compact"/>
            </w:pPr>
            <w:r>
              <w:t xml:space="preserve">Base / Redis</w:t>
            </w:r>
          </w:p>
        </w:tc>
        <w:tc>
          <w:tcPr/>
          <w:p>
            <w:pPr>
              <w:pStyle w:val="Compact"/>
            </w:pPr>
            <w:r>
              <w:t xml:space="preserve">Disponibilité, connexions</w:t>
            </w:r>
          </w:p>
        </w:tc>
        <w:tc>
          <w:tcPr/>
          <w:p>
            <w:pPr>
              <w:pStyle w:val="Compact"/>
            </w:pPr>
            <w:r>
              <w:t xml:space="preserve">Indisponibilité</w:t>
            </w:r>
          </w:p>
        </w:tc>
      </w:tr>
      <w:tr>
        <w:tc>
          <w:tcPr/>
          <w:p>
            <w:pPr>
              <w:pStyle w:val="Compact"/>
            </w:pPr>
            <w:r>
              <w:t xml:space="preserve">Antivirus</w:t>
            </w:r>
          </w:p>
        </w:tc>
        <w:tc>
          <w:tcPr/>
          <w:p>
            <w:pPr>
              <w:pStyle w:val="Compact"/>
            </w:pPr>
            <w:r>
              <w:t xml:space="preserve">Disponibilité ClamAV, fraîcheur des signatures</w:t>
            </w:r>
          </w:p>
        </w:tc>
        <w:tc>
          <w:tcPr/>
          <w:p>
            <w:pPr>
              <w:pStyle w:val="Compact"/>
            </w:pPr>
            <w:r>
              <w:t xml:space="preserve">Scanner indisponible (fail-open journalisé), signatures anciennes</w:t>
            </w:r>
          </w:p>
        </w:tc>
      </w:tr>
      <w:tr>
        <w:tc>
          <w:tcPr/>
          <w:p>
            <w:pPr>
              <w:pStyle w:val="Compact"/>
            </w:pPr>
            <w:r>
              <w:t xml:space="preserve">GPU / transcription</w:t>
            </w:r>
          </w:p>
        </w:tc>
        <w:tc>
          <w:tcPr/>
          <w:p>
            <w:pPr>
              <w:pStyle w:val="Compact"/>
            </w:pPr>
            <w:r>
              <w:t xml:space="preserve">Disponibilité, débit, jobs bloqués</w:t>
            </w:r>
          </w:p>
        </w:tc>
        <w:tc>
          <w:tcPr/>
          <w:p>
            <w:pPr>
              <w:pStyle w:val="Compact"/>
            </w:pPr>
            <w:r>
              <w:t xml:space="preserve">Watchdog de reprise (traitements bloqués)</w:t>
            </w:r>
          </w:p>
        </w:tc>
      </w:tr>
    </w:tbl>
    <w:p>
      <w:pPr>
        <w:pStyle w:val="BodyText"/>
      </w:pPr>
      <w:r>
        <w:rPr>
          <w:b/>
          <w:bCs/>
        </w:rPr>
        <w:t xml:space="preserve">Watchdog :</w:t>
      </w:r>
      <w:r>
        <w:t xml:space="preserve"> </w:t>
      </w:r>
      <w:r>
        <w:t xml:space="preserve">un mécanisme de reprise automatique relance les traitements bloqués (cycle de quelques minutes).</w:t>
      </w:r>
    </w:p>
    <w:p>
      <w:pPr>
        <w:pStyle w:val="BodyText"/>
      </w:pPr>
      <w:r>
        <w:rPr>
          <w:b/>
          <w:bCs/>
        </w:rPr>
        <w:t xml:space="preserve">Alertes :</w:t>
      </w:r>
      <w:r>
        <w:t xml:space="preserve"> </w:t>
      </w:r>
      <w:r>
        <w:t xml:space="preserve">en environnement isolé, les alertes sont acheminées vers les canaux</w:t>
      </w:r>
      <w:r>
        <w:t xml:space="preserve"> </w:t>
      </w:r>
      <w:r>
        <w:rPr>
          <w:b/>
          <w:bCs/>
        </w:rPr>
        <w:t xml:space="preserve">internes</w:t>
      </w:r>
      <w:r>
        <w:t xml:space="preserve"> </w:t>
      </w:r>
      <w:r>
        <w:t xml:space="preserve">du Client (messagerie interne, supervision) — la destination Slack/email externe utilisée en SaaS n'est</w:t>
      </w:r>
      <w:r>
        <w:t xml:space="preserve"> </w:t>
      </w:r>
      <w:r>
        <w:rPr>
          <w:b/>
          <w:bCs/>
        </w:rPr>
        <w:t xml:space="preserve">pas</w:t>
      </w:r>
      <w:r>
        <w:t xml:space="preserve"> </w:t>
      </w:r>
      <w:r>
        <w:t xml:space="preserve">applicable. Destinations</w:t>
      </w:r>
      <w:r>
        <w:t xml:space="preserve"> </w:t>
      </w:r>
      <w:r>
        <w:rPr>
          <w:rStyle w:val="VerbatimChar"/>
        </w:rPr>
        <w:t xml:space="preserve">[À RENSEIGNER avec la DSI]</w:t>
      </w:r>
      <w:r>
        <w:t xml:space="preserve">.</w:t>
      </w:r>
    </w:p>
    <w:p>
      <w:r>
        <w:pict>
          <v:rect style="width:0;height:1.5pt" o:hralign="center" o:hrstd="t" o:hr="t"/>
        </w:pict>
      </w:r>
    </w:p>
    <w:bookmarkEnd w:id="130"/>
    <w:bookmarkStart w:id="131" w:name="Xe8ee0f4b9740ce3d381797b48af7a7b8d727655"/>
    <w:p>
      <w:pPr>
        <w:pStyle w:val="Heading2"/>
      </w:pPr>
      <w:r>
        <w:t xml:space="preserve">EXPL-13 — Antivirus : signatures en environnement isolé</w:t>
      </w:r>
    </w:p>
    <w:p>
      <w:pPr>
        <w:pStyle w:val="FirstParagraph"/>
      </w:pPr>
      <w:r>
        <w:rPr>
          <w:b/>
          <w:bCs/>
        </w:rPr>
        <w:t xml:space="preserve">Objectif :</w:t>
      </w:r>
      <w:r>
        <w:t xml:space="preserve"> </w:t>
      </w:r>
      <w:r>
        <w:t xml:space="preserve">maintenir ClamAV à jour sans accès Internet.</w:t>
      </w:r>
    </w:p>
    <w:p>
      <w:pPr>
        <w:pStyle w:val="BodyText"/>
      </w:pPr>
      <w:r>
        <w:rPr>
          <w:b/>
          <w:bCs/>
        </w:rPr>
        <w:t xml:space="preserve">Rappel de fonctionnement :</w:t>
      </w:r>
      <w:r>
        <w:t xml:space="preserve"> </w:t>
      </w:r>
      <w:r>
        <w:t xml:space="preserve">chaque upload est analysé par ClamAV avant écriture disque (limite 2 Go). Un fichier infecté est</w:t>
      </w:r>
      <w:r>
        <w:t xml:space="preserve"> </w:t>
      </w:r>
      <w:r>
        <w:rPr>
          <w:b/>
          <w:bCs/>
        </w:rPr>
        <w:t xml:space="preserve">rejeté</w:t>
      </w:r>
      <w:r>
        <w:t xml:space="preserve">, journalisé, et déclenche une alerte. Le sidecar est configuré en</w:t>
      </w:r>
      <w:r>
        <w:t xml:space="preserve"> </w:t>
      </w:r>
      <w:r>
        <w:rPr>
          <w:b/>
          <w:bCs/>
        </w:rPr>
        <w:t xml:space="preserve">fail-open journalisé</w:t>
      </w:r>
      <w:r>
        <w:t xml:space="preserve"> </w:t>
      </w:r>
      <w:r>
        <w:t xml:space="preserve">: si le scanner est indisponible, l'événement est tracé (à intégrer à l'analyse de risque).</w:t>
      </w:r>
    </w:p>
    <w:p>
      <w:pPr>
        <w:pStyle w:val="BodyText"/>
      </w:pPr>
      <w:r>
        <w:rPr>
          <w:b/>
          <w:bCs/>
        </w:rPr>
        <w:t xml:space="preserve">Mise à jour hors-ligne des signatures (freshclam) :</w:t>
      </w:r>
    </w:p>
    <w:p>
      <w:pPr>
        <w:pStyle w:val="Compact"/>
        <w:numPr>
          <w:ilvl w:val="0"/>
          <w:numId w:val="1041"/>
        </w:numPr>
      </w:pPr>
      <w:r>
        <w:t xml:space="preserve">Sur un</w:t>
      </w:r>
      <w:r>
        <w:t xml:space="preserve"> </w:t>
      </w:r>
      <w:r>
        <w:rPr>
          <w:b/>
          <w:bCs/>
        </w:rPr>
        <w:t xml:space="preserve">poste connecté maîtrisé</w:t>
      </w:r>
      <w:r>
        <w:t xml:space="preserve">, récupérer les bases de signatures ClamAV.</w:t>
      </w:r>
    </w:p>
    <w:p>
      <w:pPr>
        <w:pStyle w:val="Compact"/>
        <w:numPr>
          <w:ilvl w:val="0"/>
          <w:numId w:val="1041"/>
        </w:numPr>
      </w:pPr>
      <w:r>
        <w:t xml:space="preserve">Contrôler leur intégrité.</w:t>
      </w:r>
    </w:p>
    <w:p>
      <w:pPr>
        <w:pStyle w:val="Compact"/>
        <w:numPr>
          <w:ilvl w:val="0"/>
          <w:numId w:val="1041"/>
        </w:numPr>
      </w:pPr>
      <w:r>
        <w:t xml:space="preserve">Transférer les bases vers le serveur via un</w:t>
      </w:r>
      <w:r>
        <w:t xml:space="preserve"> </w:t>
      </w:r>
      <w:r>
        <w:rPr>
          <w:b/>
          <w:bCs/>
        </w:rPr>
        <w:t xml:space="preserve">support / canal maîtrisé</w:t>
      </w:r>
      <w:r>
        <w:t xml:space="preserve"> </w:t>
      </w:r>
      <w:r>
        <w:t xml:space="preserve">(pas de flux Internet direct depuis la production).</w:t>
      </w:r>
    </w:p>
    <w:p>
      <w:pPr>
        <w:pStyle w:val="Compact"/>
        <w:numPr>
          <w:ilvl w:val="0"/>
          <w:numId w:val="1041"/>
        </w:numPr>
      </w:pPr>
      <w:r>
        <w:t xml:space="preserve">Recharger ClamAV.</w:t>
      </w:r>
    </w:p>
    <w:p>
      <w:pPr>
        <w:pStyle w:val="FirstParagraph"/>
      </w:pPr>
      <w:r>
        <w:rPr>
          <w:rStyle w:val="VerbatimChar"/>
        </w:rPr>
        <w:t xml:space="preserve">[Procédure à définir précisément avec la DSI : source des signatures, rythme (recommandé hebdomadaire), responsable, contrôle d'intégrité.]</w:t>
      </w:r>
    </w:p>
    <w:p>
      <w:r>
        <w:pict>
          <v:rect style="width:0;height:1.5pt" o:hralign="center" o:hrstd="t" o:hr="t"/>
        </w:pict>
      </w:r>
    </w:p>
    <w:bookmarkEnd w:id="131"/>
    <w:bookmarkStart w:id="132" w:name="X0751b25d694d771b27f5931d1d2914150609312"/>
    <w:p>
      <w:pPr>
        <w:pStyle w:val="Heading2"/>
      </w:pPr>
      <w:r>
        <w:t xml:space="preserve">EXPL-14 — Consultation des journaux et exports d'audit</w:t>
      </w:r>
    </w:p>
    <w:p>
      <w:pPr>
        <w:pStyle w:val="FirstParagraph"/>
      </w:pPr>
      <w:r>
        <w:rPr>
          <w:b/>
          <w:bCs/>
        </w:rPr>
        <w:t xml:space="preserve">Objectif :</w:t>
      </w:r>
      <w:r>
        <w:t xml:space="preserve"> </w:t>
      </w:r>
      <w:r>
        <w:t xml:space="preserve">consulter la traçabilité pour l'exploitation et l'audit.</w:t>
      </w:r>
    </w:p>
    <w:p>
      <w:pPr>
        <w:pStyle w:val="BodyText"/>
      </w:pPr>
      <w:r>
        <w:rPr>
          <w:b/>
          <w:bCs/>
        </w:rPr>
        <w:t xml:space="preserve">Sources de journaux :</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Contenu</w:t>
            </w:r>
          </w:p>
        </w:tc>
      </w:tr>
      <w:tr>
        <w:tc>
          <w:tcPr/>
          <w:p>
            <w:pPr>
              <w:pStyle w:val="Compact"/>
            </w:pPr>
            <w:r>
              <w:rPr>
                <w:rStyle w:val="VerbatimChar"/>
              </w:rPr>
              <w:t xml:space="preserve">activity_logs</w:t>
            </w:r>
            <w:r>
              <w:t xml:space="preserve"> </w:t>
            </w:r>
            <w:r>
              <w:t xml:space="preserve">(par organisation)</w:t>
            </w:r>
          </w:p>
        </w:tc>
        <w:tc>
          <w:tcPr/>
          <w:p>
            <w:pPr>
              <w:pStyle w:val="Compact"/>
            </w:pPr>
            <w:r>
              <w:t xml:space="preserve">Journal d'activité applicative propre au tenant</w:t>
            </w:r>
          </w:p>
        </w:tc>
      </w:tr>
      <w:tr>
        <w:tc>
          <w:tcPr/>
          <w:p>
            <w:pPr>
              <w:pStyle w:val="Compact"/>
            </w:pPr>
            <w:r>
              <w:rPr>
                <w:rStyle w:val="VerbatimChar"/>
              </w:rPr>
              <w:t xml:space="preserve">public.audit_logs</w:t>
            </w:r>
            <w:r>
              <w:t xml:space="preserve"> </w:t>
            </w:r>
            <w:r>
              <w:t xml:space="preserve">(plateforme)</w:t>
            </w:r>
          </w:p>
        </w:tc>
        <w:tc>
          <w:tcPr/>
          <w:p>
            <w:pPr>
              <w:pStyle w:val="Compact"/>
            </w:pPr>
            <w:r>
              <w:t xml:space="preserve">Événements transverses d'administration</w:t>
            </w:r>
          </w:p>
        </w:tc>
      </w:tr>
      <w:tr>
        <w:tc>
          <w:tcPr/>
          <w:p>
            <w:pPr>
              <w:pStyle w:val="Compact"/>
            </w:pPr>
            <w:r>
              <w:t xml:space="preserve">Logs conteneurs (</w:t>
            </w:r>
            <w:r>
              <w:rPr>
                <w:rStyle w:val="VerbatimChar"/>
              </w:rPr>
              <w:t xml:space="preserve">docker compose logs</w:t>
            </w:r>
            <w:r>
              <w:t xml:space="preserve">)</w:t>
            </w:r>
          </w:p>
        </w:tc>
        <w:tc>
          <w:tcPr/>
          <w:p>
            <w:pPr>
              <w:pStyle w:val="Compact"/>
            </w:pPr>
            <w:r>
              <w:t xml:space="preserve">Journaux techniques par service (rotation 10 Mo × 3)</w:t>
            </w:r>
          </w:p>
        </w:tc>
      </w:tr>
    </w:tbl>
    <w:p>
      <w:pPr>
        <w:pStyle w:val="BodyText"/>
      </w:pPr>
      <w:r>
        <w:rPr>
          <w:b/>
          <w:bCs/>
        </w:rPr>
        <w:t xml:space="preserve">Exports d'audit :</w:t>
      </w:r>
      <w:r>
        <w:t xml:space="preserve"> </w:t>
      </w:r>
      <w:r>
        <w:t xml:space="preserve">les journaux d'audit sont</w:t>
      </w:r>
      <w:r>
        <w:t xml:space="preserve"> </w:t>
      </w:r>
      <w:r>
        <w:rPr>
          <w:b/>
          <w:bCs/>
        </w:rPr>
        <w:t xml:space="preserve">exportables en CSV ou JSON</w:t>
      </w:r>
      <w:r>
        <w:t xml:space="preserve"> </w:t>
      </w:r>
      <w:r>
        <w:t xml:space="preserve">pour les besoins d'audit et de contrôle.</w:t>
      </w:r>
    </w:p>
    <w:p>
      <w:pPr>
        <w:pStyle w:val="BodyText"/>
      </w:pPr>
      <w:r>
        <w:rPr>
          <w:b/>
          <w:bCs/>
        </w:rPr>
        <w:t xml:space="preserve">Consultation de référence :</w:t>
      </w:r>
    </w:p>
    <w:p>
      <w:pPr>
        <w:pStyle w:val="SourceCode"/>
      </w:pPr>
      <w:r>
        <w:rPr>
          <w:rStyle w:val="ExtensionTok"/>
        </w:rPr>
        <w:t xml:space="preserve">docker</w:t>
      </w:r>
      <w:r>
        <w:rPr>
          <w:rStyle w:val="NormalTok"/>
        </w:rPr>
        <w:t xml:space="preserve"> compose logs </w:t>
      </w:r>
      <w:r>
        <w:rPr>
          <w:rStyle w:val="AttributeTok"/>
        </w:rPr>
        <w:t xml:space="preserve">-f</w:t>
      </w:r>
      <w:r>
        <w:rPr>
          <w:rStyle w:val="NormalTok"/>
        </w:rPr>
        <w:t xml:space="preserve"> app           </w:t>
      </w:r>
      <w:r>
        <w:rPr>
          <w:rStyle w:val="CommentTok"/>
        </w:rPr>
        <w:t xml:space="preserve"># journaux applicatifs</w:t>
      </w:r>
      <w:r>
        <w:br/>
      </w:r>
      <w:r>
        <w:rPr>
          <w:rStyle w:val="ExtensionTok"/>
        </w:rPr>
        <w:t xml:space="preserve">docker</w:t>
      </w:r>
      <w:r>
        <w:rPr>
          <w:rStyle w:val="NormalTok"/>
        </w:rPr>
        <w:t xml:space="preserve"> compose logs </w:t>
      </w:r>
      <w:r>
        <w:rPr>
          <w:rStyle w:val="AttributeTok"/>
        </w:rPr>
        <w:t xml:space="preserve">-f</w:t>
      </w:r>
      <w:r>
        <w:rPr>
          <w:rStyle w:val="NormalTok"/>
        </w:rPr>
        <w:t xml:space="preserve"> queue         </w:t>
      </w:r>
      <w:r>
        <w:rPr>
          <w:rStyle w:val="CommentTok"/>
        </w:rPr>
        <w:t xml:space="preserve"># journaux workers</w:t>
      </w:r>
      <w:r>
        <w:br/>
      </w:r>
      <w:r>
        <w:rPr>
          <w:rStyle w:val="ExtensionTok"/>
        </w:rPr>
        <w:t xml:space="preserve">docker</w:t>
      </w:r>
      <w:r>
        <w:rPr>
          <w:rStyle w:val="NormalTok"/>
        </w:rPr>
        <w:t xml:space="preserve"> compose logs nginx            </w:t>
      </w:r>
      <w:r>
        <w:rPr>
          <w:rStyle w:val="CommentTok"/>
        </w:rPr>
        <w:t xml:space="preserve"># journaux du reverse proxy</w:t>
      </w:r>
    </w:p>
    <w:p>
      <w:pPr>
        <w:pStyle w:val="FirstParagraph"/>
      </w:pPr>
      <w:r>
        <w:rPr>
          <w:b/>
          <w:bCs/>
        </w:rPr>
        <w:t xml:space="preserve">Rétention (défauts, paramétrables) :</w:t>
      </w:r>
      <w:r>
        <w:t xml:space="preserve"> </w:t>
      </w:r>
      <w:r>
        <w:t xml:space="preserve">logs d'audit ≤ 12 mois ; logs techniques ≈ 90 j.</w:t>
      </w:r>
    </w:p>
    <w:p>
      <w:r>
        <w:pict>
          <v:rect style="width:0;height:1.5pt" o:hralign="center" o:hrstd="t" o:hr="t"/>
        </w:pict>
      </w:r>
    </w:p>
    <w:bookmarkEnd w:id="132"/>
    <w:bookmarkStart w:id="133" w:name="expl-15--gestion-dun-incident"/>
    <w:p>
      <w:pPr>
        <w:pStyle w:val="Heading2"/>
      </w:pPr>
      <w:r>
        <w:t xml:space="preserve">EXPL-15 — Gestion d'un incident</w:t>
      </w:r>
    </w:p>
    <w:p>
      <w:pPr>
        <w:pStyle w:val="FirstParagraph"/>
      </w:pPr>
      <w:r>
        <w:rPr>
          <w:b/>
          <w:bCs/>
        </w:rPr>
        <w:t xml:space="preserve">Objectif :</w:t>
      </w:r>
      <w:r>
        <w:t xml:space="preserve"> </w:t>
      </w:r>
      <w:r>
        <w:t xml:space="preserve">cadrer la conduite à tenir en cas d'incident d'exploitation.</w:t>
      </w:r>
    </w:p>
    <w:p>
      <w:pPr>
        <w:pStyle w:val="BodyText"/>
      </w:pPr>
      <w:r>
        <w:rPr>
          <w:b/>
          <w:bCs/>
        </w:rPr>
        <w:t xml:space="preserve">Étapes :</w:t>
      </w:r>
    </w:p>
    <w:p>
      <w:pPr>
        <w:pStyle w:val="Compact"/>
        <w:numPr>
          <w:ilvl w:val="0"/>
          <w:numId w:val="1042"/>
        </w:numPr>
      </w:pPr>
      <w:r>
        <w:rPr>
          <w:b/>
          <w:bCs/>
        </w:rPr>
        <w:t xml:space="preserve">Qualification :</w:t>
      </w:r>
      <w:r>
        <w:t xml:space="preserve"> </w:t>
      </w:r>
      <w:r>
        <w:t xml:space="preserve">nature (indisponibilité, dégradation, corruption, incident de sécurité), périmètre (un service / un serveur / une salle / une organisation), gravité.</w:t>
      </w:r>
    </w:p>
    <w:p>
      <w:pPr>
        <w:pStyle w:val="Compact"/>
        <w:numPr>
          <w:ilvl w:val="0"/>
          <w:numId w:val="1042"/>
        </w:numPr>
      </w:pPr>
      <w:r>
        <w:rPr>
          <w:b/>
          <w:bCs/>
        </w:rPr>
        <w:t xml:space="preserve">Endiguement :</w:t>
      </w:r>
      <w:r>
        <w:t xml:space="preserve"> </w:t>
      </w:r>
      <w:r>
        <w:t xml:space="preserve">isoler le composant concerné ; en cas d'incident de sécurité, se référer au</w:t>
      </w:r>
      <w:r>
        <w:t xml:space="preserve"> </w:t>
      </w:r>
      <w:r>
        <w:rPr>
          <w:rStyle w:val="VerbatimChar"/>
        </w:rPr>
        <w:t xml:space="preserve">04_Plan_Assurance_Securite.md</w:t>
      </w:r>
      <w:r>
        <w:t xml:space="preserve">.</w:t>
      </w:r>
    </w:p>
    <w:p>
      <w:pPr>
        <w:pStyle w:val="Compact"/>
        <w:numPr>
          <w:ilvl w:val="0"/>
          <w:numId w:val="1042"/>
        </w:numPr>
      </w:pPr>
      <w:r>
        <w:rPr>
          <w:b/>
          <w:bCs/>
        </w:rPr>
        <w:t xml:space="preserve">Rétablissement :</w:t>
      </w:r>
      <w:r>
        <w:t xml:space="preserve"> </w:t>
      </w:r>
      <w:r>
        <w:t xml:space="preserve">appliquer le scénario adéquat (DCD §13 : redémarrage service, bascule Salle B, restauration).</w:t>
      </w:r>
    </w:p>
    <w:p>
      <w:pPr>
        <w:pStyle w:val="Compact"/>
        <w:numPr>
          <w:ilvl w:val="0"/>
          <w:numId w:val="1042"/>
        </w:numPr>
      </w:pPr>
      <w:r>
        <w:rPr>
          <w:b/>
          <w:bCs/>
        </w:rPr>
        <w:t xml:space="preserve">Traçabilité :</w:t>
      </w:r>
      <w:r>
        <w:t xml:space="preserve"> </w:t>
      </w:r>
      <w:r>
        <w:t xml:space="preserve">consigner l'incident (détection, actions, horodatage) à partir des journaux (EXPL-14).</w:t>
      </w:r>
    </w:p>
    <w:p>
      <w:pPr>
        <w:pStyle w:val="Compact"/>
        <w:numPr>
          <w:ilvl w:val="0"/>
          <w:numId w:val="1042"/>
        </w:numPr>
      </w:pPr>
      <w:r>
        <w:rPr>
          <w:b/>
          <w:bCs/>
        </w:rPr>
        <w:t xml:space="preserve">Notification :</w:t>
      </w:r>
      <w:r>
        <w:t xml:space="preserve"> </w:t>
      </w:r>
      <w:r>
        <w:t xml:space="preserve">pour un incident de sécurité / violation de données, appliquer le processus de notification (voir PAS et DPA — notification client ≤ 48 h ouvrées).</w:t>
      </w:r>
    </w:p>
    <w:p>
      <w:pPr>
        <w:pStyle w:val="Compact"/>
        <w:numPr>
          <w:ilvl w:val="0"/>
          <w:numId w:val="1042"/>
        </w:numPr>
      </w:pPr>
      <w:r>
        <w:rPr>
          <w:b/>
          <w:bCs/>
        </w:rPr>
        <w:t xml:space="preserve">Retour d'expérience :</w:t>
      </w:r>
      <w:r>
        <w:t xml:space="preserve"> </w:t>
      </w:r>
      <w:r>
        <w:t xml:space="preserve">analyse des causes, actions correctives.</w:t>
      </w:r>
    </w:p>
    <w:p>
      <w:pPr>
        <w:pStyle w:val="FirstParagraph"/>
      </w:pPr>
      <w:r>
        <w:rPr>
          <w:b/>
          <w:bCs/>
        </w:rPr>
        <w:t xml:space="preserve">Contacts d'incident :</w:t>
      </w:r>
    </w:p>
    <w:p>
      <w:pPr>
        <w:pStyle w:val="Compact"/>
        <w:numPr>
          <w:ilvl w:val="0"/>
          <w:numId w:val="1043"/>
        </w:numPr>
      </w:pPr>
      <w:r>
        <w:t xml:space="preserve">Interne Client :</w:t>
      </w:r>
      <w:r>
        <w:t xml:space="preserve"> </w:t>
      </w:r>
      <w:r>
        <w:rPr>
          <w:rStyle w:val="VerbatimChar"/>
        </w:rPr>
        <w:t xml:space="preserve">[À RENSEIGNER : astreinte / cellule DSI]</w:t>
      </w:r>
      <w:r>
        <w:t xml:space="preserve">.</w:t>
      </w:r>
    </w:p>
    <w:p>
      <w:pPr>
        <w:pStyle w:val="Compact"/>
        <w:numPr>
          <w:ilvl w:val="0"/>
          <w:numId w:val="1043"/>
        </w:numPr>
      </w:pPr>
      <w:r>
        <w:t xml:space="preserve">Éditeur/mainteneur (support OHADJA) : voir EXPL-16.</w:t>
      </w:r>
    </w:p>
    <w:p>
      <w:r>
        <w:pict>
          <v:rect style="width:0;height:1.5pt" o:hralign="center" o:hrstd="t" o:hr="t"/>
        </w:pict>
      </w:r>
    </w:p>
    <w:bookmarkEnd w:id="133"/>
    <w:bookmarkStart w:id="135" w:name="expl-16--modalités-daccès-au-support"/>
    <w:p>
      <w:pPr>
        <w:pStyle w:val="Heading2"/>
      </w:pPr>
      <w:r>
        <w:t xml:space="preserve">EXPL-16 — Modalités d'accès au support</w:t>
      </w:r>
    </w:p>
    <w:p>
      <w:pPr>
        <w:pStyle w:val="FirstParagraph"/>
      </w:pPr>
      <w:r>
        <w:rPr>
          <w:b/>
          <w:bCs/>
        </w:rPr>
        <w:t xml:space="preserve">Objectif :</w:t>
      </w:r>
      <w:r>
        <w:t xml:space="preserve"> </w:t>
      </w:r>
      <w:r>
        <w:t xml:space="preserve">permettre au Client de solliciter le support de l'éditeur/mainteneur OHADJA.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Éditeur / mainteneur</w:t>
            </w:r>
          </w:p>
        </w:tc>
        <w:tc>
          <w:tcPr/>
          <w:p>
            <w:pPr>
              <w:pStyle w:val="Compact"/>
            </w:pPr>
            <w:r>
              <w:t xml:space="preserve">OHADJA — 60 rue François 1er, 75008 Paris</w:t>
            </w:r>
          </w:p>
        </w:tc>
      </w:tr>
      <w:tr>
        <w:tc>
          <w:tcPr/>
          <w:p>
            <w:pPr>
              <w:pStyle w:val="Compact"/>
            </w:pPr>
            <w:r>
              <w:t xml:space="preserve">Canal</w:t>
            </w:r>
          </w:p>
        </w:tc>
        <w:tc>
          <w:tcPr/>
          <w:p>
            <w:pPr>
              <w:pStyle w:val="Compact"/>
            </w:pPr>
            <w:r>
              <w:t xml:space="preserve">Email :</w:t>
            </w:r>
            <w:r>
              <w:t xml:space="preserve"> </w:t>
            </w:r>
            <w:hyperlink r:id="rId134">
              <w:r>
                <w:rPr>
                  <w:rStyle w:val="Hyperlink"/>
                </w:rPr>
                <w:t xml:space="preserve">support@transcribia.eu</w:t>
              </w:r>
            </w:hyperlink>
          </w:p>
        </w:tc>
      </w:tr>
      <w:tr>
        <w:tc>
          <w:tcPr/>
          <w:p>
            <w:pPr>
              <w:pStyle w:val="Compact"/>
            </w:pPr>
            <w:r>
              <w:t xml:space="preserve">Horaires</w:t>
            </w:r>
          </w:p>
        </w:tc>
        <w:tc>
          <w:tcPr/>
          <w:p>
            <w:pPr>
              <w:pStyle w:val="Compact"/>
            </w:pPr>
            <w:r>
              <w:t xml:space="preserve">Jours ouvrés</w:t>
            </w:r>
            <w:r>
              <w:t xml:space="preserve"> </w:t>
            </w:r>
            <w:r>
              <w:rPr>
                <w:rStyle w:val="VerbatimChar"/>
              </w:rPr>
              <w:t xml:space="preserve">[À COMPLÉTER : plage horaire, ex. 9h–18h]</w:t>
            </w:r>
          </w:p>
        </w:tc>
      </w:tr>
      <w:tr>
        <w:tc>
          <w:tcPr/>
          <w:p>
            <w:pPr>
              <w:pStyle w:val="Compact"/>
            </w:pPr>
            <w:r>
              <w:t xml:space="preserve">Langue</w:t>
            </w:r>
          </w:p>
        </w:tc>
        <w:tc>
          <w:tcPr/>
          <w:p>
            <w:pPr>
              <w:pStyle w:val="Compact"/>
            </w:pPr>
            <w:r>
              <w:t xml:space="preserve">Français</w:t>
            </w:r>
          </w:p>
        </w:tc>
      </w:tr>
      <w:tr>
        <w:tc>
          <w:tcPr/>
          <w:p>
            <w:pPr>
              <w:pStyle w:val="Compact"/>
            </w:pPr>
            <w:r>
              <w:t xml:space="preserve">Référent sécurité éditeur</w:t>
            </w:r>
          </w:p>
        </w:tc>
        <w:tc>
          <w:tcPr/>
          <w:p>
            <w:pPr>
              <w:pStyle w:val="Compact"/>
            </w:pPr>
            <w:r>
              <w:t xml:space="preserve">Olivier Dupont (CTO, co-fondateur OHADJA) —</w:t>
            </w:r>
            <w:r>
              <w:t xml:space="preserve"> </w:t>
            </w:r>
            <w:r>
              <w:rPr>
                <w:rStyle w:val="VerbatimChar"/>
              </w:rPr>
              <w:t xml:space="preserve">privacy@transcribia.eu</w:t>
            </w:r>
          </w:p>
        </w:tc>
      </w:tr>
    </w:tbl>
    <w:p>
      <w:pPr>
        <w:pStyle w:val="BodyText"/>
      </w:pPr>
      <w:r>
        <w:rPr>
          <w:b/>
          <w:bCs/>
        </w:rPr>
        <w:t xml:space="preserve">Informations à fournir lors d'une demande :</w:t>
      </w:r>
    </w:p>
    <w:p>
      <w:pPr>
        <w:pStyle w:val="Compact"/>
        <w:numPr>
          <w:ilvl w:val="0"/>
          <w:numId w:val="1044"/>
        </w:numPr>
      </w:pPr>
      <w:r>
        <w:rPr>
          <w:b/>
          <w:bCs/>
        </w:rPr>
        <w:t xml:space="preserve">Numéro de version</w:t>
      </w:r>
      <w:r>
        <w:t xml:space="preserve"> </w:t>
      </w:r>
      <w:r>
        <w:t xml:space="preserve">de la plateforme en production.</w:t>
      </w:r>
    </w:p>
    <w:p>
      <w:pPr>
        <w:pStyle w:val="Compact"/>
        <w:numPr>
          <w:ilvl w:val="0"/>
          <w:numId w:val="1044"/>
        </w:numPr>
      </w:pPr>
      <w:r>
        <w:rPr>
          <w:b/>
          <w:bCs/>
        </w:rPr>
        <w:t xml:space="preserve">Identifiant d'installation</w:t>
      </w:r>
      <w:r>
        <w:t xml:space="preserve"> </w:t>
      </w:r>
      <w:r>
        <w:rPr>
          <w:rStyle w:val="VerbatimChar"/>
        </w:rPr>
        <w:t xml:space="preserve">[S/N à définir à l'implantation]</w:t>
      </w:r>
      <w:r>
        <w:t xml:space="preserve">.</w:t>
      </w:r>
    </w:p>
    <w:p>
      <w:pPr>
        <w:pStyle w:val="Compact"/>
        <w:numPr>
          <w:ilvl w:val="0"/>
          <w:numId w:val="1044"/>
        </w:numPr>
      </w:pPr>
      <w:r>
        <w:t xml:space="preserve">Description du problème, horodatage, périmètre.</w:t>
      </w:r>
    </w:p>
    <w:p>
      <w:pPr>
        <w:pStyle w:val="Compact"/>
        <w:numPr>
          <w:ilvl w:val="0"/>
          <w:numId w:val="1044"/>
        </w:numPr>
      </w:pPr>
      <w:r>
        <w:rPr>
          <w:b/>
          <w:bCs/>
        </w:rPr>
        <w:t xml:space="preserve">Export de logs</w:t>
      </w:r>
      <w:r>
        <w:t xml:space="preserve"> </w:t>
      </w:r>
      <w:r>
        <w:t xml:space="preserve">pertinents (EXPL-14) — après retrait des éventuelles données sensibles selon la politique du Client.</w:t>
      </w:r>
    </w:p>
    <w:p>
      <w:pPr>
        <w:pStyle w:val="FirstParagraph"/>
      </w:pPr>
      <w:r>
        <w:rPr>
          <w:b/>
          <w:bCs/>
        </w:rPr>
        <w:t xml:space="preserve">Niveaux de sévérité :</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Sévérité</w:t>
            </w:r>
          </w:p>
        </w:tc>
        <w:tc>
          <w:tcPr/>
          <w:p>
            <w:pPr>
              <w:pStyle w:val="Compact"/>
            </w:pPr>
            <w:r>
              <w:t xml:space="preserve">Définition</w:t>
            </w:r>
          </w:p>
        </w:tc>
      </w:tr>
      <w:tr>
        <w:tc>
          <w:tcPr/>
          <w:p>
            <w:pPr>
              <w:pStyle w:val="Compact"/>
            </w:pPr>
            <w:r>
              <w:t xml:space="preserve">Bloquant</w:t>
            </w:r>
          </w:p>
        </w:tc>
        <w:tc>
          <w:tcPr/>
          <w:p>
            <w:pPr>
              <w:pStyle w:val="Compact"/>
            </w:pPr>
            <w:r>
              <w:t xml:space="preserve">Service indisponible ou fonction critique inutilisable, sans contournement</w:t>
            </w:r>
          </w:p>
        </w:tc>
      </w:tr>
      <w:tr>
        <w:tc>
          <w:tcPr/>
          <w:p>
            <w:pPr>
              <w:pStyle w:val="Compact"/>
            </w:pPr>
            <w:r>
              <w:t xml:space="preserve">Majeur</w:t>
            </w:r>
          </w:p>
        </w:tc>
        <w:tc>
          <w:tcPr/>
          <w:p>
            <w:pPr>
              <w:pStyle w:val="Compact"/>
            </w:pPr>
            <w:r>
              <w:t xml:space="preserve">Fonction importante dégradée, contournement possible</w:t>
            </w:r>
          </w:p>
        </w:tc>
      </w:tr>
      <w:tr>
        <w:tc>
          <w:tcPr/>
          <w:p>
            <w:pPr>
              <w:pStyle w:val="Compact"/>
            </w:pPr>
            <w:r>
              <w:t xml:space="preserve">Mineur</w:t>
            </w:r>
          </w:p>
        </w:tc>
        <w:tc>
          <w:tcPr/>
          <w:p>
            <w:pPr>
              <w:pStyle w:val="Compact"/>
            </w:pPr>
            <w:r>
              <w:t xml:space="preserve">Anomalie sans impact opérationnel significatif</w:t>
            </w:r>
          </w:p>
        </w:tc>
      </w:tr>
    </w:tbl>
    <w:p>
      <w:r>
        <w:pict>
          <v:rect style="width:0;height:1.5pt" o:hralign="center" o:hrstd="t" o:hr="t"/>
        </w:pict>
      </w:r>
    </w:p>
    <w:bookmarkEnd w:id="135"/>
    <w:bookmarkStart w:id="136" w:name="Xd30854a3fdc6798f46b192de01e8524b1ba6921"/>
    <w:p>
      <w:pPr>
        <w:pStyle w:val="Heading2"/>
      </w:pPr>
      <w:r>
        <w:t xml:space="preserve">EXPL-17 — Rappel des engagements de niveaux de service</w:t>
      </w:r>
    </w:p>
    <w:p>
      <w:pPr>
        <w:pStyle w:val="FirstParagraph"/>
      </w:pPr>
      <w:r>
        <w:rPr>
          <w:b/>
          <w:bCs/>
        </w:rPr>
        <w:t xml:space="preserve">Objectif :</w:t>
      </w:r>
      <w:r>
        <w:t xml:space="preserve"> </w:t>
      </w:r>
      <w:r>
        <w:t xml:space="preserve">rappeler les engagements proposés (à confirmer au contrat).</w:t>
      </w:r>
    </w:p>
    <w:p>
      <w:pPr>
        <w:pStyle w:val="BodyText"/>
      </w:pPr>
      <w:r>
        <w:rPr>
          <w:b/>
          <w:bCs/>
        </w:rPr>
        <w:t xml:space="preserve">Garanties de temps d'intervention (GTI) — proposition standard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Sévérité</w:t>
            </w:r>
          </w:p>
        </w:tc>
        <w:tc>
          <w:tcPr/>
          <w:p>
            <w:pPr>
              <w:pStyle w:val="Compact"/>
            </w:pPr>
            <w:r>
              <w:t xml:space="preserve">GTI proposée</w:t>
            </w:r>
          </w:p>
        </w:tc>
        <w:tc>
          <w:tcPr/>
          <w:p>
            <w:pPr>
              <w:pStyle w:val="Compact"/>
            </w:pPr>
            <w:r>
              <w:t xml:space="preserve">Statut</w:t>
            </w:r>
          </w:p>
        </w:tc>
      </w:tr>
      <w:tr>
        <w:tc>
          <w:tcPr/>
          <w:p>
            <w:pPr>
              <w:pStyle w:val="Compact"/>
            </w:pPr>
            <w:r>
              <w:t xml:space="preserve">Bloquant</w:t>
            </w:r>
          </w:p>
        </w:tc>
        <w:tc>
          <w:tcPr/>
          <w:p>
            <w:pPr>
              <w:pStyle w:val="Compact"/>
            </w:pPr>
            <w:r>
              <w:t xml:space="preserve">4 heures ouvrées</w:t>
            </w:r>
          </w:p>
        </w:tc>
        <w:tc>
          <w:tcPr/>
          <w:p>
            <w:pPr>
              <w:pStyle w:val="Compact"/>
            </w:pPr>
            <w:r>
              <w:t xml:space="preserve">[proposition standard — à confirmer au contrat]</w:t>
            </w:r>
          </w:p>
        </w:tc>
      </w:tr>
      <w:tr>
        <w:tc>
          <w:tcPr/>
          <w:p>
            <w:pPr>
              <w:pStyle w:val="Compact"/>
            </w:pPr>
            <w:r>
              <w:t xml:space="preserve">Majeur</w:t>
            </w:r>
          </w:p>
        </w:tc>
        <w:tc>
          <w:tcPr/>
          <w:p>
            <w:pPr>
              <w:pStyle w:val="Compact"/>
            </w:pPr>
            <w:r>
              <w:t xml:space="preserve">1 jour ouvré</w:t>
            </w:r>
          </w:p>
        </w:tc>
        <w:tc>
          <w:tcPr/>
          <w:p>
            <w:pPr>
              <w:pStyle w:val="Compact"/>
            </w:pPr>
            <w:r>
              <w:t xml:space="preserve">[proposition standard — à confirmer au contrat]</w:t>
            </w:r>
          </w:p>
        </w:tc>
      </w:tr>
      <w:tr>
        <w:tc>
          <w:tcPr/>
          <w:p>
            <w:pPr>
              <w:pStyle w:val="Compact"/>
            </w:pPr>
            <w:r>
              <w:t xml:space="preserve">Mineur</w:t>
            </w:r>
          </w:p>
        </w:tc>
        <w:tc>
          <w:tcPr/>
          <w:p>
            <w:pPr>
              <w:pStyle w:val="Compact"/>
            </w:pPr>
            <w:r>
              <w:t xml:space="preserve">Best-effort</w:t>
            </w:r>
          </w:p>
        </w:tc>
        <w:tc>
          <w:tcPr/>
          <w:p>
            <w:pPr>
              <w:pStyle w:val="Compact"/>
            </w:pPr>
            <w:r>
              <w:t xml:space="preserve">[proposition standard — à confirmer au contrat]</w:t>
            </w:r>
          </w:p>
        </w:tc>
      </w:tr>
    </w:tbl>
    <w:p>
      <w:pPr>
        <w:pStyle w:val="BodyText"/>
      </w:pPr>
      <w:r>
        <w:rPr>
          <w:b/>
          <w:bCs/>
        </w:rPr>
        <w:t xml:space="preserve">Objectifs de continuité (architecture cible) :</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Objectif</w:t>
            </w:r>
          </w:p>
        </w:tc>
        <w:tc>
          <w:tcPr/>
          <w:p>
            <w:pPr>
              <w:pStyle w:val="Compact"/>
            </w:pPr>
            <w:r>
              <w:t xml:space="preserve">Valeur</w:t>
            </w:r>
          </w:p>
        </w:tc>
        <w:tc>
          <w:tcPr/>
          <w:p>
            <w:pPr>
              <w:pStyle w:val="Compact"/>
            </w:pPr>
            <w:r>
              <w:t xml:space="preserve">Statut</w:t>
            </w:r>
          </w:p>
        </w:tc>
      </w:tr>
      <w:tr>
        <w:tc>
          <w:tcPr/>
          <w:p>
            <w:pPr>
              <w:pStyle w:val="Compact"/>
            </w:pPr>
            <w:r>
              <w:t xml:space="preserve">RPO</w:t>
            </w:r>
          </w:p>
        </w:tc>
        <w:tc>
          <w:tcPr/>
          <w:p>
            <w:pPr>
              <w:pStyle w:val="Compact"/>
            </w:pPr>
            <w:r>
              <w:t xml:space="preserve">≤ 24 h (cible ≤ 15 min en réplication continue)</w:t>
            </w:r>
          </w:p>
        </w:tc>
        <w:tc>
          <w:tcPr/>
          <w:p>
            <w:pPr>
              <w:pStyle w:val="Compact"/>
            </w:pPr>
            <w:r>
              <w:t xml:space="preserve">Objectif d'architecture — à valider en recette</w:t>
            </w:r>
          </w:p>
        </w:tc>
      </w:tr>
      <w:tr>
        <w:tc>
          <w:tcPr/>
          <w:p>
            <w:pPr>
              <w:pStyle w:val="Compact"/>
            </w:pPr>
            <w:r>
              <w:t xml:space="preserve">RTO</w:t>
            </w:r>
          </w:p>
        </w:tc>
        <w:tc>
          <w:tcPr/>
          <w:p>
            <w:pPr>
              <w:pStyle w:val="Compact"/>
            </w:pPr>
            <w:r>
              <w:t xml:space="preserve">≤ 4 h</w:t>
            </w:r>
          </w:p>
        </w:tc>
        <w:tc>
          <w:tcPr/>
          <w:p>
            <w:pPr>
              <w:pStyle w:val="Compact"/>
            </w:pPr>
            <w:r>
              <w:t xml:space="preserve">Objectif d'architecture — à valider en recette</w:t>
            </w:r>
          </w:p>
        </w:tc>
      </w:tr>
    </w:tbl>
    <w:p>
      <w:pPr>
        <w:pStyle w:val="BlockText"/>
      </w:pPr>
      <w:r>
        <w:t xml:space="preserve">Les GTI et objectifs ci-dessus sont des</w:t>
      </w:r>
      <w:r>
        <w:t xml:space="preserve"> </w:t>
      </w:r>
      <w:r>
        <w:rPr>
          <w:b/>
          <w:bCs/>
        </w:rPr>
        <w:t xml:space="preserve">propositions</w:t>
      </w:r>
      <w:r>
        <w:t xml:space="preserve"> </w:t>
      </w:r>
      <w:r>
        <w:t xml:space="preserve">; leurs valeurs définitives relèvent du contrat de maintenance et des résultats de recette.</w:t>
      </w:r>
    </w:p>
    <w:p>
      <w:r>
        <w:pict>
          <v:rect style="width:0;height:1.5pt" o:hralign="center" o:hrstd="t" o:hr="t"/>
        </w:pict>
      </w:r>
    </w:p>
    <w:p>
      <w:pPr>
        <w:pStyle w:val="FirstParagraph"/>
      </w:pPr>
      <w:r>
        <w:rPr>
          <w:i/>
          <w:iCs/>
        </w:rPr>
        <w:t xml:space="preserve">Document de travail établi par OHADJA (éditeur/mainteneur) — procédures d'exploitation à adapter à l'installation réelle du Client. Les commandes exactes (scripts, Makefile, chemins) seront figées lors de la phase d'implantation.</w:t>
      </w:r>
    </w:p>
    <w:p>
      <w:r>
        <w:br w:type="page"/>
      </w:r>
    </w:p>
    <w:bookmarkEnd w:id="136"/>
    <w:bookmarkEnd w:id="137"/>
    <w:bookmarkStart w:id="158" w:name="X4b2c663eaab4fc589c4d36f90a56a2bb2f8a047"/>
    <w:p>
      <w:pPr>
        <w:pStyle w:val="Heading1"/>
      </w:pPr>
      <w:r>
        <w:t xml:space="preserve">Dossier de Qualification — Cahier de Recette — TranscribIA on-premise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Référence</w:t>
            </w:r>
          </w:p>
        </w:tc>
        <w:tc>
          <w:tcPr/>
          <w:p>
            <w:pPr>
              <w:pStyle w:val="Compact"/>
            </w:pPr>
            <w:r>
              <w:t xml:space="preserve">OHA-ONPREM-RECETTE-2026-001</w:t>
            </w:r>
          </w:p>
        </w:tc>
      </w:tr>
      <w:tr>
        <w:tc>
          <w:tcPr/>
          <w:p>
            <w:pPr>
              <w:pStyle w:val="Compact"/>
            </w:pPr>
            <w:r>
              <w:rPr>
                <w:b/>
                <w:bCs/>
              </w:rPr>
              <w:t xml:space="preserve">Version</w:t>
            </w:r>
          </w:p>
        </w:tc>
        <w:tc>
          <w:tcPr/>
          <w:p>
            <w:pPr>
              <w:pStyle w:val="Compact"/>
            </w:pPr>
            <w:r>
              <w:t xml:space="preserve">1.0</w:t>
            </w:r>
          </w:p>
        </w:tc>
      </w:tr>
      <w:tr>
        <w:tc>
          <w:tcPr/>
          <w:p>
            <w:pPr>
              <w:pStyle w:val="Compact"/>
            </w:pPr>
            <w:r>
              <w:rPr>
                <w:b/>
                <w:bCs/>
              </w:rPr>
              <w:t xml:space="preserve">Date</w:t>
            </w:r>
          </w:p>
        </w:tc>
        <w:tc>
          <w:tcPr/>
          <w:p>
            <w:pPr>
              <w:pStyle w:val="Compact"/>
            </w:pPr>
            <w:r>
              <w:t xml:space="preserve">2026-07-24</w:t>
            </w:r>
          </w:p>
        </w:tc>
      </w:tr>
      <w:tr>
        <w:tc>
          <w:tcPr/>
          <w:p>
            <w:pPr>
              <w:pStyle w:val="Compact"/>
            </w:pPr>
            <w:r>
              <w:rPr>
                <w:b/>
                <w:bCs/>
              </w:rPr>
              <w:t xml:space="preserve">Rédacteur / éditeur</w:t>
            </w:r>
          </w:p>
        </w:tc>
        <w:tc>
          <w:tcPr/>
          <w:p>
            <w:pPr>
              <w:pStyle w:val="Compact"/>
            </w:pPr>
            <w:r>
              <w:t xml:space="preserve">OHADJA — éditeur et mainteneur du logiciel TranscribIA — 60 rue François 1er, 75008 Paris</w:t>
            </w:r>
          </w:p>
        </w:tc>
      </w:tr>
      <w:tr>
        <w:tc>
          <w:tcPr/>
          <w:p>
            <w:pPr>
              <w:pStyle w:val="Compact"/>
            </w:pPr>
            <w:r>
              <w:rPr>
                <w:b/>
                <w:bCs/>
              </w:rPr>
              <w:t xml:space="preserve">Intégrateur / distributeur</w:t>
            </w:r>
          </w:p>
        </w:tc>
        <w:tc>
          <w:tcPr/>
          <w:p>
            <w:pPr>
              <w:pStyle w:val="Compact"/>
            </w:pPr>
            <w:r>
              <w:t xml:space="preserve">Votre intégrateur (à préciser selon le projet)</w:t>
            </w:r>
          </w:p>
        </w:tc>
      </w:tr>
      <w:tr>
        <w:tc>
          <w:tcPr/>
          <w:p>
            <w:pPr>
              <w:pStyle w:val="Compact"/>
            </w:pPr>
            <w:r>
              <w:rPr>
                <w:b/>
                <w:bCs/>
              </w:rPr>
              <w:t xml:space="preserve">Revendeur commercial</w:t>
            </w:r>
          </w:p>
        </w:tc>
        <w:tc>
          <w:tcPr/>
          <w:p>
            <w:pPr>
              <w:pStyle w:val="Compact"/>
            </w:pPr>
            <w:r>
              <w:t xml:space="preserve">AMBASSADIA SARL (Monaco et France) — rôle commercial uniquement, sans exploitation ni accès aux données de production</w:t>
            </w:r>
          </w:p>
        </w:tc>
      </w:tr>
      <w:tr>
        <w:tc>
          <w:tcPr/>
          <w:p>
            <w:pPr>
              <w:pStyle w:val="Compact"/>
            </w:pPr>
            <w:r>
              <w:rPr>
                <w:b/>
                <w:bCs/>
              </w:rPr>
              <w:t xml:space="preserve">Destinataire</w:t>
            </w:r>
          </w:p>
        </w:tc>
        <w:tc>
          <w:tcPr/>
          <w:p>
            <w:pPr>
              <w:pStyle w:val="Compact"/>
            </w:pPr>
            <w:r>
              <w:t xml:space="preserve">Client — Direction des Systèmes d'Information (à personnaliser lors du projet)</w:t>
            </w:r>
          </w:p>
        </w:tc>
      </w:tr>
      <w:tr>
        <w:tc>
          <w:tcPr/>
          <w:p>
            <w:pPr>
              <w:pStyle w:val="Compact"/>
            </w:pPr>
            <w:r>
              <w:rPr>
                <w:b/>
                <w:bCs/>
              </w:rPr>
              <w:t xml:space="preserve">Classification</w:t>
            </w:r>
          </w:p>
        </w:tc>
        <w:tc>
          <w:tcPr/>
          <w:p>
            <w:pPr>
              <w:pStyle w:val="Compact"/>
            </w:pPr>
            <w:r>
              <w:t xml:space="preserve">Public — document type, adapté lors de chaque projet d'implantation</w:t>
            </w:r>
          </w:p>
        </w:tc>
      </w:tr>
    </w:tbl>
    <w:p>
      <w:pPr>
        <w:pStyle w:val="BlockText"/>
      </w:pPr>
      <w:r>
        <w:t xml:space="preserve">Ce dossier définit la qualification et les tests de recette du déploiement on-premise de TranscribIA (variante isolée, architecture actif Salle A / secours passif Salle B). Chaque test comporte une colonne</w:t>
      </w:r>
      <w:r>
        <w:t xml:space="preserve"> </w:t>
      </w:r>
      <w:r>
        <w:rPr>
          <w:b/>
          <w:bCs/>
        </w:rPr>
        <w:t xml:space="preserve">Statut</w:t>
      </w:r>
      <w:r>
        <w:t xml:space="preserve"> </w:t>
      </w:r>
      <w:r>
        <w:t xml:space="preserve">à renseigner lors de la recette (Conforme / Non conforme / Non applicable). Les valeurs cibles dépendantes du matériel sont signalées</w:t>
      </w:r>
      <w:r>
        <w:t xml:space="preserve"> </w:t>
      </w:r>
      <w:r>
        <w:rPr>
          <w:rStyle w:val="VerbatimChar"/>
        </w:rPr>
        <w:t xml:space="preserve">[à établir sur la config retenue]</w:t>
      </w:r>
      <w:r>
        <w:t xml:space="preserve">.</w:t>
      </w:r>
    </w:p>
    <w:p>
      <w:r>
        <w:pict>
          <v:rect style="width:0;height:1.5pt" o:hralign="center" o:hrstd="t" o:hr="t"/>
        </w:pict>
      </w:r>
    </w:p>
    <w:bookmarkStart w:id="140" w:name="X1b5385844c82e0364776f08473af03501281c3a"/>
    <w:p>
      <w:pPr>
        <w:pStyle w:val="Heading2"/>
      </w:pPr>
      <w:r>
        <w:t xml:space="preserve">1. Périmètre et prérequis</w:t>
      </w:r>
    </w:p>
    <w:bookmarkStart w:id="138" w:name="X169fe6c72c832537c26008364d44c8d2275b61d"/>
    <w:p>
      <w:pPr>
        <w:pStyle w:val="Heading3"/>
      </w:pPr>
      <w:r>
        <w:t xml:space="preserve">1.1 Périmètre de la recette</w:t>
      </w:r>
    </w:p>
    <w:p>
      <w:pPr>
        <w:pStyle w:val="FirstParagraph"/>
      </w:pPr>
      <w:r>
        <w:t xml:space="preserve">La recette couvre :</w:t>
      </w:r>
    </w:p>
    <w:p>
      <w:pPr>
        <w:pStyle w:val="Compact"/>
        <w:numPr>
          <w:ilvl w:val="0"/>
          <w:numId w:val="1045"/>
        </w:numPr>
      </w:pPr>
      <w:r>
        <w:t xml:space="preserve">les</w:t>
      </w:r>
      <w:r>
        <w:t xml:space="preserve"> </w:t>
      </w:r>
      <w:r>
        <w:rPr>
          <w:b/>
          <w:bCs/>
        </w:rPr>
        <w:t xml:space="preserve">fonctions applicatives</w:t>
      </w:r>
      <w:r>
        <w:t xml:space="preserve"> </w:t>
      </w:r>
      <w:r>
        <w:t xml:space="preserve">(création d'organisations et d'utilisateurs, dépôt audio, transcription bout-en-bout, diarisation, édition, génération IA sur LLM local, export Word, suppression) ;</w:t>
      </w:r>
    </w:p>
    <w:p>
      <w:pPr>
        <w:pStyle w:val="Compact"/>
        <w:numPr>
          <w:ilvl w:val="0"/>
          <w:numId w:val="1045"/>
        </w:numPr>
      </w:pPr>
      <w:r>
        <w:t xml:space="preserve">la</w:t>
      </w:r>
      <w:r>
        <w:t xml:space="preserve"> </w:t>
      </w:r>
      <w:r>
        <w:rPr>
          <w:b/>
          <w:bCs/>
        </w:rPr>
        <w:t xml:space="preserve">sécurité</w:t>
      </w:r>
      <w:r>
        <w:t xml:space="preserve"> </w:t>
      </w:r>
      <w:r>
        <w:t xml:space="preserve">(authentification, 2FA, RBAC, isolation multi-tenant, antivirus, TLS, verrouillage/rate limiting, audit trail) ;</w:t>
      </w:r>
    </w:p>
    <w:p>
      <w:pPr>
        <w:pStyle w:val="Compact"/>
        <w:numPr>
          <w:ilvl w:val="0"/>
          <w:numId w:val="1045"/>
        </w:numPr>
      </w:pPr>
      <w:r>
        <w:t xml:space="preserve">la</w:t>
      </w:r>
      <w:r>
        <w:t xml:space="preserve"> </w:t>
      </w:r>
      <w:r>
        <w:rPr>
          <w:b/>
          <w:bCs/>
        </w:rPr>
        <w:t xml:space="preserve">performance</w:t>
      </w:r>
      <w:r>
        <w:t xml:space="preserve"> </w:t>
      </w:r>
      <w:r>
        <w:t xml:space="preserve">(transcription d'un fichier de référence, charge concurrente, temps de réponse API) ;</w:t>
      </w:r>
    </w:p>
    <w:p>
      <w:pPr>
        <w:pStyle w:val="Compact"/>
        <w:numPr>
          <w:ilvl w:val="0"/>
          <w:numId w:val="1045"/>
        </w:numPr>
      </w:pPr>
      <w:r>
        <w:t xml:space="preserve">la</w:t>
      </w:r>
      <w:r>
        <w:t xml:space="preserve"> </w:t>
      </w:r>
      <w:r>
        <w:rPr>
          <w:b/>
          <w:bCs/>
        </w:rPr>
        <w:t xml:space="preserve">bascule et la reprise</w:t>
      </w:r>
      <w:r>
        <w:t xml:space="preserve"> </w:t>
      </w:r>
      <w:r>
        <w:t xml:space="preserve">(panne de service, panne serveur, perte de la Salle A → promotion Salle B, restaurations) ;</w:t>
      </w:r>
    </w:p>
    <w:p>
      <w:pPr>
        <w:pStyle w:val="Compact"/>
        <w:numPr>
          <w:ilvl w:val="0"/>
          <w:numId w:val="1045"/>
        </w:numPr>
      </w:pPr>
      <w:r>
        <w:t xml:space="preserve">l'</w:t>
      </w:r>
      <w:r>
        <w:rPr>
          <w:b/>
          <w:bCs/>
        </w:rPr>
        <w:t xml:space="preserve">exploitation</w:t>
      </w:r>
      <w:r>
        <w:t xml:space="preserve"> </w:t>
      </w:r>
      <w:r>
        <w:t xml:space="preserve">(sauvegarde/restauration de configuration, mise à jour + rollback, supervision/alerte).</w:t>
      </w:r>
    </w:p>
    <w:bookmarkEnd w:id="138"/>
    <w:bookmarkStart w:id="139" w:name="Xeeda15796ab1fa420d65e685d089bc042ce4ccf"/>
    <w:p>
      <w:pPr>
        <w:pStyle w:val="Heading3"/>
      </w:pPr>
      <w:r>
        <w:t xml:space="preserve">1.2 Prérequis à la recette</w:t>
      </w:r>
    </w:p>
    <w:p>
      <w:pPr>
        <w:pStyle w:val="Compact"/>
        <w:numPr>
          <w:ilvl w:val="0"/>
          <w:numId w:val="1046"/>
        </w:numPr>
      </w:pPr>
      <w:r>
        <w:t xml:space="preserve">Installation réalisée conformément au DCD (</w:t>
      </w:r>
      <w:r>
        <w:rPr>
          <w:rStyle w:val="VerbatimChar"/>
        </w:rPr>
        <w:t xml:space="preserve">01_Dossier_Conception_Detaillee.md</w:t>
      </w:r>
      <w:r>
        <w:t xml:space="preserve">).</w:t>
      </w:r>
    </w:p>
    <w:p>
      <w:pPr>
        <w:pStyle w:val="Compact"/>
        <w:numPr>
          <w:ilvl w:val="0"/>
          <w:numId w:val="1046"/>
        </w:numPr>
      </w:pPr>
      <w:r>
        <w:t xml:space="preserve">Stack démarrée et saine (EXPL-03).</w:t>
      </w:r>
    </w:p>
    <w:p>
      <w:pPr>
        <w:pStyle w:val="Compact"/>
        <w:numPr>
          <w:ilvl w:val="0"/>
          <w:numId w:val="1046"/>
        </w:numPr>
      </w:pPr>
      <w:r>
        <w:t xml:space="preserve">Site actif Salle A et site secours Salle B opérationnels, réplication établie.</w:t>
      </w:r>
    </w:p>
    <w:p>
      <w:pPr>
        <w:pStyle w:val="Compact"/>
        <w:numPr>
          <w:ilvl w:val="0"/>
          <w:numId w:val="1046"/>
        </w:numPr>
      </w:pPr>
      <w:r>
        <w:t xml:space="preserve">Serveur GPU (transcription + LLM local) opérationnel.</w:t>
      </w:r>
    </w:p>
    <w:p>
      <w:pPr>
        <w:pStyle w:val="Compact"/>
        <w:numPr>
          <w:ilvl w:val="0"/>
          <w:numId w:val="1046"/>
        </w:numPr>
      </w:pPr>
      <w:r>
        <w:t xml:space="preserve">Jeux de données de test : fichier audio de référence, fichier audio d'1 h, fichier de test EICAR (antivirus).</w:t>
      </w:r>
    </w:p>
    <w:p>
      <w:pPr>
        <w:pStyle w:val="Compact"/>
        <w:numPr>
          <w:ilvl w:val="0"/>
          <w:numId w:val="1046"/>
        </w:numPr>
      </w:pPr>
      <w:r>
        <w:t xml:space="preserve">Comptes de test créés (super_admin de recette + comptes par rôle + deux organisations distinctes).</w:t>
      </w:r>
    </w:p>
    <w:p>
      <w:r>
        <w:pict>
          <v:rect style="width:0;height:1.5pt" o:hralign="center" o:hrstd="t" o:hr="t"/>
        </w:pict>
      </w:r>
    </w:p>
    <w:bookmarkEnd w:id="139"/>
    <w:bookmarkEnd w:id="140"/>
    <w:bookmarkStart w:id="141" w:name="X37f93053696ce43626004ff7c02dd854a71bb10"/>
    <w:p>
      <w:pPr>
        <w:pStyle w:val="Heading2"/>
      </w:pPr>
      <w:r>
        <w:t xml:space="preserve">2. Environnement de recette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Plateforme</w:t>
            </w:r>
          </w:p>
        </w:tc>
        <w:tc>
          <w:tcPr/>
          <w:p>
            <w:pPr>
              <w:pStyle w:val="Compact"/>
            </w:pPr>
            <w:r>
              <w:t xml:space="preserve">Installation on-premise Client (Salle A actif / Salle B secours)</w:t>
            </w:r>
          </w:p>
        </w:tc>
      </w:tr>
      <w:tr>
        <w:tc>
          <w:tcPr/>
          <w:p>
            <w:pPr>
              <w:pStyle w:val="Compact"/>
            </w:pPr>
            <w:r>
              <w:t xml:space="preserve">Version testée</w:t>
            </w:r>
          </w:p>
        </w:tc>
        <w:tc>
          <w:tcPr/>
          <w:p>
            <w:pPr>
              <w:pStyle w:val="Compact"/>
            </w:pPr>
            <w:r>
              <w:rPr>
                <w:rStyle w:val="VerbatimChar"/>
              </w:rPr>
              <w:t xml:space="preserve">[À RENSEIGNER : tag de version]</w:t>
            </w:r>
          </w:p>
        </w:tc>
      </w:tr>
      <w:tr>
        <w:tc>
          <w:tcPr/>
          <w:p>
            <w:pPr>
              <w:pStyle w:val="Compact"/>
            </w:pPr>
            <w:r>
              <w:t xml:space="preserve">Accès</w:t>
            </w:r>
          </w:p>
        </w:tc>
        <w:tc>
          <w:tcPr/>
          <w:p>
            <w:pPr>
              <w:pStyle w:val="Compact"/>
            </w:pPr>
            <w:r>
              <w:t xml:space="preserve">VIP applicative</w:t>
            </w:r>
            <w:r>
              <w:t xml:space="preserve"> </w:t>
            </w:r>
            <w:r>
              <w:rPr>
                <w:rStyle w:val="VerbatimChar"/>
              </w:rPr>
              <w:t xml:space="preserve">[À RENSEIGNER]</w:t>
            </w:r>
            <w:r>
              <w:t xml:space="preserve">, HTTPS 443</w:t>
            </w:r>
          </w:p>
        </w:tc>
      </w:tr>
      <w:tr>
        <w:tc>
          <w:tcPr/>
          <w:p>
            <w:pPr>
              <w:pStyle w:val="Compact"/>
            </w:pPr>
            <w:r>
              <w:t xml:space="preserve">Organisations de test</w:t>
            </w:r>
          </w:p>
        </w:tc>
        <w:tc>
          <w:tcPr/>
          <w:p>
            <w:pPr>
              <w:pStyle w:val="Compact"/>
            </w:pPr>
            <w:r>
              <w:t xml:space="preserve">ORG-A, ORG-B (schémas distincts)</w:t>
            </w:r>
          </w:p>
        </w:tc>
      </w:tr>
      <w:tr>
        <w:tc>
          <w:tcPr/>
          <w:p>
            <w:pPr>
              <w:pStyle w:val="Compact"/>
            </w:pPr>
            <w:r>
              <w:t xml:space="preserve">Fichiers de test</w:t>
            </w:r>
          </w:p>
        </w:tc>
        <w:tc>
          <w:tcPr/>
          <w:p>
            <w:pPr>
              <w:pStyle w:val="Compact"/>
            </w:pPr>
            <w:r>
              <w:rPr>
                <w:rStyle w:val="VerbatimChar"/>
              </w:rPr>
              <w:t xml:space="preserve">audio_ref</w:t>
            </w:r>
            <w:r>
              <w:t xml:space="preserve"> </w:t>
            </w:r>
            <w:r>
              <w:t xml:space="preserve">(référence courte),</w:t>
            </w:r>
            <w:r>
              <w:t xml:space="preserve"> </w:t>
            </w:r>
            <w:r>
              <w:rPr>
                <w:rStyle w:val="VerbatimChar"/>
              </w:rPr>
              <w:t xml:space="preserve">audio_1h</w:t>
            </w:r>
            <w:r>
              <w:t xml:space="preserve"> </w:t>
            </w:r>
            <w:r>
              <w:t xml:space="preserve">(1 h),</w:t>
            </w:r>
            <w:r>
              <w:t xml:space="preserve"> </w:t>
            </w:r>
            <w:r>
              <w:rPr>
                <w:rStyle w:val="VerbatimChar"/>
              </w:rPr>
              <w:t xml:space="preserve">EICAR.txt</w:t>
            </w:r>
          </w:p>
        </w:tc>
      </w:tr>
      <w:tr>
        <w:tc>
          <w:tcPr/>
          <w:p>
            <w:pPr>
              <w:pStyle w:val="Compact"/>
            </w:pPr>
            <w:r>
              <w:t xml:space="preserve">Outillage</w:t>
            </w:r>
          </w:p>
        </w:tc>
        <w:tc>
          <w:tcPr/>
          <w:p>
            <w:pPr>
              <w:pStyle w:val="Compact"/>
            </w:pPr>
            <w:r>
              <w:t xml:space="preserve">Navigateur, client API (curl/Postman), outil de charge</w:t>
            </w:r>
            <w:r>
              <w:t xml:space="preserve"> </w:t>
            </w:r>
            <w:r>
              <w:rPr>
                <w:rStyle w:val="VerbatimChar"/>
              </w:rPr>
              <w:t xml:space="preserve">[À RENSEIGNER]</w:t>
            </w:r>
          </w:p>
        </w:tc>
      </w:tr>
    </w:tbl>
    <w:p>
      <w:r>
        <w:pict>
          <v:rect style="width:0;height:1.5pt" o:hralign="center" o:hrstd="t" o:hr="t"/>
        </w:pict>
      </w:r>
    </w:p>
    <w:bookmarkEnd w:id="141"/>
    <w:bookmarkStart w:id="142" w:name="Xded8403895f993be6f77a5151c81243656521af"/>
    <w:p>
      <w:pPr>
        <w:pStyle w:val="Heading2"/>
      </w:pPr>
      <w:r>
        <w:t xml:space="preserve">3. Critères d'acceptation</w:t>
      </w:r>
    </w:p>
    <w:p>
      <w:pPr>
        <w:pStyle w:val="Compact"/>
        <w:numPr>
          <w:ilvl w:val="0"/>
          <w:numId w:val="1047"/>
        </w:numPr>
      </w:pPr>
      <w:r>
        <w:rPr>
          <w:b/>
          <w:bCs/>
        </w:rPr>
        <w:t xml:space="preserve">100 %</w:t>
      </w:r>
      <w:r>
        <w:t xml:space="preserve"> </w:t>
      </w:r>
      <w:r>
        <w:t xml:space="preserve">des tests T-FONC et T-SEC en statut</w:t>
      </w:r>
      <w:r>
        <w:t xml:space="preserve"> </w:t>
      </w:r>
      <w:r>
        <w:rPr>
          <w:b/>
          <w:bCs/>
        </w:rPr>
        <w:t xml:space="preserve">Conforme</w:t>
      </w:r>
      <w:r>
        <w:t xml:space="preserve">.</w:t>
      </w:r>
    </w:p>
    <w:p>
      <w:pPr>
        <w:pStyle w:val="Compact"/>
        <w:numPr>
          <w:ilvl w:val="0"/>
          <w:numId w:val="1047"/>
        </w:numPr>
      </w:pPr>
      <w:r>
        <w:t xml:space="preserve">Tests T-BASCULE</w:t>
      </w:r>
      <w:r>
        <w:t xml:space="preserve"> </w:t>
      </w:r>
      <w:r>
        <w:rPr>
          <w:b/>
          <w:bCs/>
        </w:rPr>
        <w:t xml:space="preserve">Conforme</w:t>
      </w:r>
      <w:r>
        <w:t xml:space="preserve">, avec RTO mesuré</w:t>
      </w:r>
      <w:r>
        <w:t xml:space="preserve"> </w:t>
      </w:r>
      <w:r>
        <w:rPr>
          <w:b/>
          <w:bCs/>
        </w:rPr>
        <w:t xml:space="preserve">≤ 4 h</w:t>
      </w:r>
      <w:r>
        <w:t xml:space="preserve"> </w:t>
      </w:r>
      <w:r>
        <w:t xml:space="preserve">et RPO mesuré</w:t>
      </w:r>
      <w:r>
        <w:t xml:space="preserve"> </w:t>
      </w:r>
      <w:r>
        <w:rPr>
          <w:b/>
          <w:bCs/>
        </w:rPr>
        <w:t xml:space="preserve">≤ 24 h</w:t>
      </w:r>
      <w:r>
        <w:t xml:space="preserve"> </w:t>
      </w:r>
      <w:r>
        <w:t xml:space="preserve">(cible ≤ 15 min à documenter).</w:t>
      </w:r>
    </w:p>
    <w:p>
      <w:pPr>
        <w:pStyle w:val="Compact"/>
        <w:numPr>
          <w:ilvl w:val="0"/>
          <w:numId w:val="1047"/>
        </w:numPr>
      </w:pPr>
      <w:r>
        <w:t xml:space="preserve">Tests T-PERF conformes aux seuils</w:t>
      </w:r>
      <w:r>
        <w:t xml:space="preserve"> </w:t>
      </w:r>
      <w:r>
        <w:rPr>
          <w:rStyle w:val="VerbatimChar"/>
        </w:rPr>
        <w:t xml:space="preserve">[à établir sur la config retenue]</w:t>
      </w:r>
      <w:r>
        <w:t xml:space="preserve">, ou écarts justifiés et acceptés par le Client.</w:t>
      </w:r>
    </w:p>
    <w:p>
      <w:pPr>
        <w:pStyle w:val="Compact"/>
        <w:numPr>
          <w:ilvl w:val="0"/>
          <w:numId w:val="1047"/>
        </w:numPr>
      </w:pPr>
      <w:r>
        <w:t xml:space="preserve">Tests T-EXPL</w:t>
      </w:r>
      <w:r>
        <w:t xml:space="preserve"> </w:t>
      </w:r>
      <w:r>
        <w:rPr>
          <w:b/>
          <w:bCs/>
        </w:rPr>
        <w:t xml:space="preserve">Conforme</w:t>
      </w:r>
      <w:r>
        <w:t xml:space="preserve">.</w:t>
      </w:r>
    </w:p>
    <w:p>
      <w:pPr>
        <w:pStyle w:val="Compact"/>
        <w:numPr>
          <w:ilvl w:val="0"/>
          <w:numId w:val="1047"/>
        </w:numPr>
      </w:pPr>
      <w:r>
        <w:t xml:space="preserve">Toute non-conformité fait l'objet d'une fiche d'anomalie et d'un plan de correction avant prononcé de la recette.</w:t>
      </w:r>
    </w:p>
    <w:p>
      <w:r>
        <w:pict>
          <v:rect style="width:0;height:1.5pt" o:hralign="center" o:hrstd="t" o:hr="t"/>
        </w:pict>
      </w:r>
    </w:p>
    <w:bookmarkEnd w:id="142"/>
    <w:bookmarkStart w:id="143" w:name="X89f8bc10a7f8f1f76d3a2e7c806170bccc65b8d"/>
    <w:p>
      <w:pPr>
        <w:pStyle w:val="Heading2"/>
      </w:pPr>
      <w:r>
        <w:t xml:space="preserve">4. Tests fonctionnels (T-FONC)</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ID</w:t>
            </w:r>
          </w:p>
        </w:tc>
        <w:tc>
          <w:tcPr/>
          <w:p>
            <w:pPr>
              <w:pStyle w:val="Compact"/>
            </w:pPr>
            <w:r>
              <w:t xml:space="preserve">Objectif</w:t>
            </w:r>
          </w:p>
        </w:tc>
        <w:tc>
          <w:tcPr/>
          <w:p>
            <w:pPr>
              <w:pStyle w:val="Compact"/>
            </w:pPr>
            <w:r>
              <w:t xml:space="preserve">Prérequis</w:t>
            </w:r>
          </w:p>
        </w:tc>
        <w:tc>
          <w:tcPr/>
          <w:p>
            <w:pPr>
              <w:pStyle w:val="Compact"/>
            </w:pPr>
            <w:r>
              <w:t xml:space="preserve">Étapes</w:t>
            </w:r>
          </w:p>
        </w:tc>
        <w:tc>
          <w:tcPr/>
          <w:p>
            <w:pPr>
              <w:pStyle w:val="Compact"/>
            </w:pPr>
            <w:r>
              <w:t xml:space="preserve">Résultat attendu</w:t>
            </w:r>
          </w:p>
        </w:tc>
        <w:tc>
          <w:tcPr/>
          <w:p>
            <w:pPr>
              <w:pStyle w:val="Compact"/>
            </w:pPr>
            <w:r>
              <w:t xml:space="preserve">Statut</w:t>
            </w:r>
          </w:p>
        </w:tc>
      </w:tr>
      <w:tr>
        <w:tc>
          <w:tcPr/>
          <w:p>
            <w:pPr>
              <w:pStyle w:val="Compact"/>
            </w:pPr>
            <w:r>
              <w:t xml:space="preserve">T-FONC-01</w:t>
            </w:r>
          </w:p>
        </w:tc>
        <w:tc>
          <w:tcPr/>
          <w:p>
            <w:pPr>
              <w:pStyle w:val="Compact"/>
            </w:pPr>
            <w:r>
              <w:t xml:space="preserve">Création d'organisation</w:t>
            </w:r>
          </w:p>
        </w:tc>
        <w:tc>
          <w:tcPr/>
          <w:p>
            <w:pPr>
              <w:pStyle w:val="Compact"/>
            </w:pPr>
            <w:r>
              <w:t xml:space="preserve">super_admin connecté</w:t>
            </w:r>
          </w:p>
        </w:tc>
        <w:tc>
          <w:tcPr/>
          <w:p>
            <w:pPr>
              <w:pStyle w:val="Compact"/>
            </w:pPr>
            <w:r>
              <w:t xml:space="preserve">1. Admin → Organisations → Créer ORG-A (template administration). 2. Vérifier la création du schéma.</w:t>
            </w:r>
          </w:p>
        </w:tc>
        <w:tc>
          <w:tcPr/>
          <w:p>
            <w:pPr>
              <w:pStyle w:val="Compact"/>
            </w:pPr>
            <w:r>
              <w:t xml:space="preserve">ORG-A créée, schéma dédié provisionné, template appliqué</w:t>
            </w:r>
          </w:p>
        </w:tc>
        <w:tc>
          <w:tcPr/>
          <w:p>
            <w:pPr>
              <w:pStyle w:val="Compact"/>
            </w:pPr>
          </w:p>
        </w:tc>
      </w:tr>
      <w:tr>
        <w:tc>
          <w:tcPr/>
          <w:p>
            <w:pPr>
              <w:pStyle w:val="Compact"/>
            </w:pPr>
            <w:r>
              <w:t xml:space="preserve">T-FONC-02</w:t>
            </w:r>
          </w:p>
        </w:tc>
        <w:tc>
          <w:tcPr/>
          <w:p>
            <w:pPr>
              <w:pStyle w:val="Compact"/>
            </w:pPr>
            <w:r>
              <w:t xml:space="preserve">Création d'utilisateur</w:t>
            </w:r>
          </w:p>
        </w:tc>
        <w:tc>
          <w:tcPr/>
          <w:p>
            <w:pPr>
              <w:pStyle w:val="Compact"/>
            </w:pPr>
            <w:r>
              <w:t xml:space="preserve">ORG-A existante</w:t>
            </w:r>
          </w:p>
        </w:tc>
        <w:tc>
          <w:tcPr/>
          <w:p>
            <w:pPr>
              <w:pStyle w:val="Compact"/>
            </w:pPr>
            <w:r>
              <w:t xml:space="preserve">1. Créer un</w:t>
            </w:r>
            <w:r>
              <w:t xml:space="preserve"> </w:t>
            </w:r>
            <w:r>
              <w:rPr>
                <w:rStyle w:val="VerbatimChar"/>
              </w:rPr>
              <w:t xml:space="preserve">manager</w:t>
            </w:r>
            <w:r>
              <w:t xml:space="preserve">, un</w:t>
            </w:r>
            <w:r>
              <w:t xml:space="preserve"> </w:t>
            </w:r>
            <w:r>
              <w:rPr>
                <w:rStyle w:val="VerbatimChar"/>
              </w:rPr>
              <w:t xml:space="preserve">team_lead</w:t>
            </w:r>
            <w:r>
              <w:t xml:space="preserve">, un</w:t>
            </w:r>
            <w:r>
              <w:t xml:space="preserve"> </w:t>
            </w:r>
            <w:r>
              <w:rPr>
                <w:rStyle w:val="VerbatimChar"/>
              </w:rPr>
              <w:t xml:space="preserve">user</w:t>
            </w:r>
            <w:r>
              <w:t xml:space="preserve"> </w:t>
            </w:r>
            <w:r>
              <w:t xml:space="preserve">dans ORG-A.</w:t>
            </w:r>
          </w:p>
        </w:tc>
        <w:tc>
          <w:tcPr/>
          <w:p>
            <w:pPr>
              <w:pStyle w:val="Compact"/>
            </w:pPr>
            <w:r>
              <w:t xml:space="preserve">Comptes créés avec les rôles attendus</w:t>
            </w:r>
          </w:p>
        </w:tc>
        <w:tc>
          <w:tcPr/>
          <w:p>
            <w:pPr>
              <w:pStyle w:val="Compact"/>
            </w:pPr>
          </w:p>
        </w:tc>
      </w:tr>
      <w:tr>
        <w:tc>
          <w:tcPr/>
          <w:p>
            <w:pPr>
              <w:pStyle w:val="Compact"/>
            </w:pPr>
            <w:r>
              <w:t xml:space="preserve">T-FONC-03</w:t>
            </w:r>
          </w:p>
        </w:tc>
        <w:tc>
          <w:tcPr/>
          <w:p>
            <w:pPr>
              <w:pStyle w:val="Compact"/>
            </w:pPr>
            <w:r>
              <w:t xml:space="preserve">Connexion utilisateur</w:t>
            </w:r>
          </w:p>
        </w:tc>
        <w:tc>
          <w:tcPr/>
          <w:p>
            <w:pPr>
              <w:pStyle w:val="Compact"/>
            </w:pPr>
            <w:r>
              <w:t xml:space="preserve">Comptes créés</w:t>
            </w:r>
          </w:p>
        </w:tc>
        <w:tc>
          <w:tcPr/>
          <w:p>
            <w:pPr>
              <w:pStyle w:val="Compact"/>
            </w:pPr>
            <w:r>
              <w:t xml:space="preserve">1. Se connecter avec chaque compte.</w:t>
            </w:r>
          </w:p>
        </w:tc>
        <w:tc>
          <w:tcPr/>
          <w:p>
            <w:pPr>
              <w:pStyle w:val="Compact"/>
            </w:pPr>
            <w:r>
              <w:t xml:space="preserve">Connexion réussie, portée conforme au rôle</w:t>
            </w:r>
          </w:p>
        </w:tc>
        <w:tc>
          <w:tcPr/>
          <w:p>
            <w:pPr>
              <w:pStyle w:val="Compact"/>
            </w:pPr>
          </w:p>
        </w:tc>
      </w:tr>
      <w:tr>
        <w:tc>
          <w:tcPr/>
          <w:p>
            <w:pPr>
              <w:pStyle w:val="Compact"/>
            </w:pPr>
            <w:r>
              <w:t xml:space="preserve">T-FONC-04</w:t>
            </w:r>
          </w:p>
        </w:tc>
        <w:tc>
          <w:tcPr/>
          <w:p>
            <w:pPr>
              <w:pStyle w:val="Compact"/>
            </w:pPr>
            <w:r>
              <w:t xml:space="preserve">Dépôt de fichier audio</w:t>
            </w:r>
          </w:p>
        </w:tc>
        <w:tc>
          <w:tcPr/>
          <w:p>
            <w:pPr>
              <w:pStyle w:val="Compact"/>
            </w:pPr>
            <w:r>
              <w:t xml:space="preserve">manager ORG-A connecté</w:t>
            </w:r>
          </w:p>
        </w:tc>
        <w:tc>
          <w:tcPr/>
          <w:p>
            <w:pPr>
              <w:pStyle w:val="Compact"/>
            </w:pPr>
            <w:r>
              <w:t xml:space="preserve">1. Créer une séance. 2. Uploader</w:t>
            </w:r>
            <w:r>
              <w:t xml:space="preserve"> </w:t>
            </w:r>
            <w:r>
              <w:rPr>
                <w:rStyle w:val="VerbatimChar"/>
              </w:rPr>
              <w:t xml:space="preserve">audio_ref</w:t>
            </w:r>
            <w:r>
              <w:t xml:space="preserve">.</w:t>
            </w:r>
          </w:p>
        </w:tc>
        <w:tc>
          <w:tcPr/>
          <w:p>
            <w:pPr>
              <w:pStyle w:val="Compact"/>
            </w:pPr>
            <w:r>
              <w:t xml:space="preserve">Fichier accepté, statut</w:t>
            </w:r>
            <w:r>
              <w:t xml:space="preserve"> </w:t>
            </w:r>
            <w:r>
              <w:rPr>
                <w:rStyle w:val="VerbatimChar"/>
              </w:rPr>
              <w:t xml:space="preserve">pending</w:t>
            </w:r>
            <w:r>
              <w:t xml:space="preserve">, séance</w:t>
            </w:r>
            <w:r>
              <w:t xml:space="preserve"> </w:t>
            </w:r>
            <w:r>
              <w:rPr>
                <w:rStyle w:val="VerbatimChar"/>
              </w:rPr>
              <w:t xml:space="preserve">pending</w:t>
            </w:r>
          </w:p>
        </w:tc>
        <w:tc>
          <w:tcPr/>
          <w:p>
            <w:pPr>
              <w:pStyle w:val="Compact"/>
            </w:pPr>
          </w:p>
        </w:tc>
      </w:tr>
      <w:tr>
        <w:tc>
          <w:tcPr/>
          <w:p>
            <w:pPr>
              <w:pStyle w:val="Compact"/>
            </w:pPr>
            <w:r>
              <w:t xml:space="preserve">T-FONC-05</w:t>
            </w:r>
          </w:p>
        </w:tc>
        <w:tc>
          <w:tcPr/>
          <w:p>
            <w:pPr>
              <w:pStyle w:val="Compact"/>
            </w:pPr>
            <w:r>
              <w:t xml:space="preserve">Transcription bout-en-bout</w:t>
            </w:r>
          </w:p>
        </w:tc>
        <w:tc>
          <w:tcPr/>
          <w:p>
            <w:pPr>
              <w:pStyle w:val="Compact"/>
            </w:pPr>
            <w:r>
              <w:t xml:space="preserve">GPU opérationnel, T-FONC-04</w:t>
            </w:r>
          </w:p>
        </w:tc>
        <w:tc>
          <w:tcPr/>
          <w:p>
            <w:pPr>
              <w:pStyle w:val="Compact"/>
            </w:pPr>
            <w:r>
              <w:t xml:space="preserve">1. Le serveur GPU interroge</w:t>
            </w:r>
            <w:r>
              <w:t xml:space="preserve"> </w:t>
            </w:r>
            <w:r>
              <w:rPr>
                <w:rStyle w:val="VerbatimChar"/>
              </w:rPr>
              <w:t xml:space="preserve">GET /api/files/pending</w:t>
            </w:r>
            <w:r>
              <w:t xml:space="preserve">. 2. Traitement. 3.</w:t>
            </w:r>
            <w:r>
              <w:t xml:space="preserve"> </w:t>
            </w:r>
            <w:r>
              <w:rPr>
                <w:rStyle w:val="VerbatimChar"/>
              </w:rPr>
              <w:t xml:space="preserve">POST …/complete</w:t>
            </w:r>
            <w:r>
              <w:t xml:space="preserve">.</w:t>
            </w:r>
          </w:p>
        </w:tc>
        <w:tc>
          <w:tcPr/>
          <w:p>
            <w:pPr>
              <w:pStyle w:val="Compact"/>
            </w:pPr>
            <w:r>
              <w:t xml:space="preserve">Transcription créée, séance</w:t>
            </w:r>
            <w:r>
              <w:t xml:space="preserve"> </w:t>
            </w:r>
            <w:r>
              <w:rPr>
                <w:rStyle w:val="VerbatimChar"/>
              </w:rPr>
              <w:t xml:space="preserve">completed</w:t>
            </w:r>
            <w:r>
              <w:t xml:space="preserve">, segments présents</w:t>
            </w:r>
          </w:p>
        </w:tc>
        <w:tc>
          <w:tcPr/>
          <w:p>
            <w:pPr>
              <w:pStyle w:val="Compact"/>
            </w:pPr>
          </w:p>
        </w:tc>
      </w:tr>
      <w:tr>
        <w:tc>
          <w:tcPr/>
          <w:p>
            <w:pPr>
              <w:pStyle w:val="Compact"/>
            </w:pPr>
            <w:r>
              <w:t xml:space="preserve">T-FONC-06</w:t>
            </w:r>
          </w:p>
        </w:tc>
        <w:tc>
          <w:tcPr/>
          <w:p>
            <w:pPr>
              <w:pStyle w:val="Compact"/>
            </w:pPr>
            <w:r>
              <w:t xml:space="preserve">Diarisation</w:t>
            </w:r>
          </w:p>
        </w:tc>
        <w:tc>
          <w:tcPr/>
          <w:p>
            <w:pPr>
              <w:pStyle w:val="Compact"/>
            </w:pPr>
            <w:r>
              <w:t xml:space="preserve">T-FONC-05</w:t>
            </w:r>
          </w:p>
        </w:tc>
        <w:tc>
          <w:tcPr/>
          <w:p>
            <w:pPr>
              <w:pStyle w:val="Compact"/>
            </w:pPr>
            <w:r>
              <w:t xml:space="preserve">1. Ouvrir la transcription. 2. Vérifier les étiquettes de locuteurs (Speaker 1, 2, …).</w:t>
            </w:r>
          </w:p>
        </w:tc>
        <w:tc>
          <w:tcPr/>
          <w:p>
            <w:pPr>
              <w:pStyle w:val="Compact"/>
            </w:pPr>
            <w:r>
              <w:t xml:space="preserve">Locuteurs positionnels distincts identifiés</w:t>
            </w:r>
          </w:p>
        </w:tc>
        <w:tc>
          <w:tcPr/>
          <w:p>
            <w:pPr>
              <w:pStyle w:val="Compact"/>
            </w:pPr>
          </w:p>
        </w:tc>
      </w:tr>
      <w:tr>
        <w:tc>
          <w:tcPr/>
          <w:p>
            <w:pPr>
              <w:pStyle w:val="Compact"/>
            </w:pPr>
            <w:r>
              <w:t xml:space="preserve">T-FONC-07</w:t>
            </w:r>
          </w:p>
        </w:tc>
        <w:tc>
          <w:tcPr/>
          <w:p>
            <w:pPr>
              <w:pStyle w:val="Compact"/>
            </w:pPr>
            <w:r>
              <w:t xml:space="preserve">Attribution de locuteur</w:t>
            </w:r>
          </w:p>
        </w:tc>
        <w:tc>
          <w:tcPr/>
          <w:p>
            <w:pPr>
              <w:pStyle w:val="Compact"/>
            </w:pPr>
            <w:r>
              <w:t xml:space="preserve">T-FONC-06</w:t>
            </w:r>
          </w:p>
        </w:tc>
        <w:tc>
          <w:tcPr/>
          <w:p>
            <w:pPr>
              <w:pStyle w:val="Compact"/>
            </w:pPr>
            <w:r>
              <w:t xml:space="preserve">1. Renommer Speaker 1 en un nom humain.</w:t>
            </w:r>
          </w:p>
        </w:tc>
        <w:tc>
          <w:tcPr/>
          <w:p>
            <w:pPr>
              <w:pStyle w:val="Compact"/>
            </w:pPr>
            <w:r>
              <w:t xml:space="preserve">Nom enregistré et affiché</w:t>
            </w:r>
          </w:p>
        </w:tc>
        <w:tc>
          <w:tcPr/>
          <w:p>
            <w:pPr>
              <w:pStyle w:val="Compact"/>
            </w:pPr>
          </w:p>
        </w:tc>
      </w:tr>
      <w:tr>
        <w:tc>
          <w:tcPr/>
          <w:p>
            <w:pPr>
              <w:pStyle w:val="Compact"/>
            </w:pPr>
            <w:r>
              <w:t xml:space="preserve">T-FONC-08</w:t>
            </w:r>
          </w:p>
        </w:tc>
        <w:tc>
          <w:tcPr/>
          <w:p>
            <w:pPr>
              <w:pStyle w:val="Compact"/>
            </w:pPr>
            <w:r>
              <w:t xml:space="preserve">Édition de transcription</w:t>
            </w:r>
          </w:p>
        </w:tc>
        <w:tc>
          <w:tcPr/>
          <w:p>
            <w:pPr>
              <w:pStyle w:val="Compact"/>
            </w:pPr>
            <w:r>
              <w:t xml:space="preserve">T-FONC-05</w:t>
            </w:r>
          </w:p>
        </w:tc>
        <w:tc>
          <w:tcPr/>
          <w:p>
            <w:pPr>
              <w:pStyle w:val="Compact"/>
            </w:pPr>
            <w:r>
              <w:t xml:space="preserve">1. Modifier un segment. 2. Enregistrer.</w:t>
            </w:r>
          </w:p>
        </w:tc>
        <w:tc>
          <w:tcPr/>
          <w:p>
            <w:pPr>
              <w:pStyle w:val="Compact"/>
            </w:pPr>
            <w:r>
              <w:t xml:space="preserve">Modification persistée, version historisée</w:t>
            </w:r>
          </w:p>
        </w:tc>
        <w:tc>
          <w:tcPr/>
          <w:p>
            <w:pPr>
              <w:pStyle w:val="Compact"/>
            </w:pPr>
          </w:p>
        </w:tc>
      </w:tr>
      <w:tr>
        <w:tc>
          <w:tcPr/>
          <w:p>
            <w:pPr>
              <w:pStyle w:val="Compact"/>
            </w:pPr>
            <w:r>
              <w:t xml:space="preserve">T-FONC-09</w:t>
            </w:r>
          </w:p>
        </w:tc>
        <w:tc>
          <w:tcPr/>
          <w:p>
            <w:pPr>
              <w:pStyle w:val="Compact"/>
            </w:pPr>
            <w:r>
              <w:t xml:space="preserve">Génération IA (LLM local)</w:t>
            </w:r>
          </w:p>
        </w:tc>
        <w:tc>
          <w:tcPr/>
          <w:p>
            <w:pPr>
              <w:pStyle w:val="Compact"/>
            </w:pPr>
            <w:r>
              <w:t xml:space="preserve">LLM local opérationnel</w:t>
            </w:r>
          </w:p>
        </w:tc>
        <w:tc>
          <w:tcPr/>
          <w:p>
            <w:pPr>
              <w:pStyle w:val="Compact"/>
            </w:pPr>
            <w:r>
              <w:t xml:space="preserve">1. Lancer un résumé / PV via l'IA.</w:t>
            </w:r>
          </w:p>
        </w:tc>
        <w:tc>
          <w:tcPr/>
          <w:p>
            <w:pPr>
              <w:pStyle w:val="Compact"/>
            </w:pPr>
            <w:r>
              <w:t xml:space="preserve">Génération produite par le</w:t>
            </w:r>
            <w:r>
              <w:t xml:space="preserve"> </w:t>
            </w:r>
            <w:r>
              <w:rPr>
                <w:b/>
                <w:bCs/>
              </w:rPr>
              <w:t xml:space="preserve">LLM local</w:t>
            </w:r>
            <w:r>
              <w:t xml:space="preserve">, enregistrée dans l'organisation</w:t>
            </w:r>
          </w:p>
        </w:tc>
        <w:tc>
          <w:tcPr/>
          <w:p>
            <w:pPr>
              <w:pStyle w:val="Compact"/>
            </w:pPr>
          </w:p>
        </w:tc>
      </w:tr>
      <w:tr>
        <w:tc>
          <w:tcPr/>
          <w:p>
            <w:pPr>
              <w:pStyle w:val="Compact"/>
            </w:pPr>
            <w:r>
              <w:t xml:space="preserve">T-FONC-10</w:t>
            </w:r>
          </w:p>
        </w:tc>
        <w:tc>
          <w:tcPr/>
          <w:p>
            <w:pPr>
              <w:pStyle w:val="Compact"/>
            </w:pPr>
            <w:r>
              <w:t xml:space="preserve">Sources IA sélectives</w:t>
            </w:r>
          </w:p>
        </w:tc>
        <w:tc>
          <w:tcPr/>
          <w:p>
            <w:pPr>
              <w:pStyle w:val="Compact"/>
            </w:pPr>
            <w:r>
              <w:t xml:space="preserve">T-FONC-09</w:t>
            </w:r>
          </w:p>
        </w:tc>
        <w:tc>
          <w:tcPr/>
          <w:p>
            <w:pPr>
              <w:pStyle w:val="Compact"/>
            </w:pPr>
            <w:r>
              <w:t xml:space="preserve">1. Générer avec sources (transcription + documents + votes).</w:t>
            </w:r>
          </w:p>
        </w:tc>
        <w:tc>
          <w:tcPr/>
          <w:p>
            <w:pPr>
              <w:pStyle w:val="Compact"/>
            </w:pPr>
            <w:r>
              <w:t xml:space="preserve">Sortie cohérente basée sur les sources sélectionnées</w:t>
            </w:r>
          </w:p>
        </w:tc>
        <w:tc>
          <w:tcPr/>
          <w:p>
            <w:pPr>
              <w:pStyle w:val="Compact"/>
            </w:pPr>
          </w:p>
        </w:tc>
      </w:tr>
      <w:tr>
        <w:tc>
          <w:tcPr/>
          <w:p>
            <w:pPr>
              <w:pStyle w:val="Compact"/>
            </w:pPr>
            <w:r>
              <w:t xml:space="preserve">T-FONC-11</w:t>
            </w:r>
          </w:p>
        </w:tc>
        <w:tc>
          <w:tcPr/>
          <w:p>
            <w:pPr>
              <w:pStyle w:val="Compact"/>
            </w:pPr>
            <w:r>
              <w:t xml:space="preserve">Export Word</w:t>
            </w:r>
          </w:p>
        </w:tc>
        <w:tc>
          <w:tcPr/>
          <w:p>
            <w:pPr>
              <w:pStyle w:val="Compact"/>
            </w:pPr>
            <w:r>
              <w:t xml:space="preserve">T-FONC-05</w:t>
            </w:r>
          </w:p>
        </w:tc>
        <w:tc>
          <w:tcPr/>
          <w:p>
            <w:pPr>
              <w:pStyle w:val="Compact"/>
            </w:pPr>
            <w:r>
              <w:t xml:space="preserve">1. Exporter la séance / génération en DOCX.</w:t>
            </w:r>
          </w:p>
        </w:tc>
        <w:tc>
          <w:tcPr/>
          <w:p>
            <w:pPr>
              <w:pStyle w:val="Compact"/>
            </w:pPr>
            <w:r>
              <w:t xml:space="preserve">Fichier DOCX généré et téléchargeable</w:t>
            </w:r>
          </w:p>
        </w:tc>
        <w:tc>
          <w:tcPr/>
          <w:p>
            <w:pPr>
              <w:pStyle w:val="Compact"/>
            </w:pPr>
          </w:p>
        </w:tc>
      </w:tr>
      <w:tr>
        <w:tc>
          <w:tcPr/>
          <w:p>
            <w:pPr>
              <w:pStyle w:val="Compact"/>
            </w:pPr>
            <w:r>
              <w:t xml:space="preserve">T-FONC-12</w:t>
            </w:r>
          </w:p>
        </w:tc>
        <w:tc>
          <w:tcPr/>
          <w:p>
            <w:pPr>
              <w:pStyle w:val="Compact"/>
            </w:pPr>
            <w:r>
              <w:t xml:space="preserve">Suppression</w:t>
            </w:r>
          </w:p>
        </w:tc>
        <w:tc>
          <w:tcPr/>
          <w:p>
            <w:pPr>
              <w:pStyle w:val="Compact"/>
            </w:pPr>
            <w:r>
              <w:t xml:space="preserve">manager</w:t>
            </w:r>
          </w:p>
        </w:tc>
        <w:tc>
          <w:tcPr/>
          <w:p>
            <w:pPr>
              <w:pStyle w:val="Compact"/>
            </w:pPr>
            <w:r>
              <w:t xml:space="preserve">1. Supprimer une séance (step-up password).</w:t>
            </w:r>
          </w:p>
        </w:tc>
        <w:tc>
          <w:tcPr/>
          <w:p>
            <w:pPr>
              <w:pStyle w:val="Compact"/>
            </w:pPr>
            <w:r>
              <w:t xml:space="preserve">Séance supprimée, action tracée dans l'audit</w:t>
            </w:r>
          </w:p>
        </w:tc>
        <w:tc>
          <w:tcPr/>
          <w:p>
            <w:pPr>
              <w:pStyle w:val="Compact"/>
            </w:pPr>
          </w:p>
        </w:tc>
      </w:tr>
      <w:tr>
        <w:tc>
          <w:tcPr/>
          <w:p>
            <w:pPr>
              <w:pStyle w:val="Compact"/>
            </w:pPr>
            <w:r>
              <w:t xml:space="preserve">T-FONC-13</w:t>
            </w:r>
          </w:p>
        </w:tc>
        <w:tc>
          <w:tcPr/>
          <w:p>
            <w:pPr>
              <w:pStyle w:val="Compact"/>
            </w:pPr>
            <w:r>
              <w:t xml:space="preserve">Portabilité (export tenant)</w:t>
            </w:r>
          </w:p>
        </w:tc>
        <w:tc>
          <w:tcPr/>
          <w:p>
            <w:pPr>
              <w:pStyle w:val="Compact"/>
            </w:pPr>
            <w:r>
              <w:t xml:space="preserve">manager ORG-A</w:t>
            </w:r>
          </w:p>
        </w:tc>
        <w:tc>
          <w:tcPr/>
          <w:p>
            <w:pPr>
              <w:pStyle w:val="Compact"/>
            </w:pPr>
            <w:r>
              <w:t xml:space="preserve">1. Réglages → Portabilité → Export.</w:t>
            </w:r>
          </w:p>
        </w:tc>
        <w:tc>
          <w:tcPr/>
          <w:p>
            <w:pPr>
              <w:pStyle w:val="Compact"/>
            </w:pPr>
            <w:r>
              <w:t xml:space="preserve">Archive</w:t>
            </w:r>
            <w:r>
              <w:t xml:space="preserve"> </w:t>
            </w:r>
            <w:r>
              <w:rPr>
                <w:rStyle w:val="VerbatimChar"/>
              </w:rPr>
              <w:t xml:space="preserve">.tar.gz</w:t>
            </w:r>
            <w:r>
              <w:t xml:space="preserve"> </w:t>
            </w:r>
            <w:r>
              <w:t xml:space="preserve">signée SHA-256 produite</w:t>
            </w:r>
          </w:p>
        </w:tc>
        <w:tc>
          <w:tcPr/>
          <w:p>
            <w:pPr>
              <w:pStyle w:val="Compact"/>
            </w:pPr>
          </w:p>
        </w:tc>
      </w:tr>
    </w:tbl>
    <w:p>
      <w:r>
        <w:pict>
          <v:rect style="width:0;height:1.5pt" o:hralign="center" o:hrstd="t" o:hr="t"/>
        </w:pict>
      </w:r>
    </w:p>
    <w:bookmarkEnd w:id="143"/>
    <w:bookmarkStart w:id="144" w:name="X68f99bb915ed617d8910e7b5aeb9f29ffe832ad"/>
    <w:p>
      <w:pPr>
        <w:pStyle w:val="Heading2"/>
      </w:pPr>
      <w:r>
        <w:t xml:space="preserve">5. Tests de sécurité (T-SEC)</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ID</w:t>
            </w:r>
          </w:p>
        </w:tc>
        <w:tc>
          <w:tcPr/>
          <w:p>
            <w:pPr>
              <w:pStyle w:val="Compact"/>
            </w:pPr>
            <w:r>
              <w:t xml:space="preserve">Objectif</w:t>
            </w:r>
          </w:p>
        </w:tc>
        <w:tc>
          <w:tcPr/>
          <w:p>
            <w:pPr>
              <w:pStyle w:val="Compact"/>
            </w:pPr>
            <w:r>
              <w:t xml:space="preserve">Prérequis</w:t>
            </w:r>
          </w:p>
        </w:tc>
        <w:tc>
          <w:tcPr/>
          <w:p>
            <w:pPr>
              <w:pStyle w:val="Compact"/>
            </w:pPr>
            <w:r>
              <w:t xml:space="preserve">Étapes</w:t>
            </w:r>
          </w:p>
        </w:tc>
        <w:tc>
          <w:tcPr/>
          <w:p>
            <w:pPr>
              <w:pStyle w:val="Compact"/>
            </w:pPr>
            <w:r>
              <w:t xml:space="preserve">Résultat attendu</w:t>
            </w:r>
          </w:p>
        </w:tc>
        <w:tc>
          <w:tcPr/>
          <w:p>
            <w:pPr>
              <w:pStyle w:val="Compact"/>
            </w:pPr>
            <w:r>
              <w:t xml:space="preserve">Statut</w:t>
            </w:r>
          </w:p>
        </w:tc>
      </w:tr>
      <w:tr>
        <w:tc>
          <w:tcPr/>
          <w:p>
            <w:pPr>
              <w:pStyle w:val="Compact"/>
            </w:pPr>
            <w:r>
              <w:t xml:space="preserve">T-SEC-01</w:t>
            </w:r>
          </w:p>
        </w:tc>
        <w:tc>
          <w:tcPr/>
          <w:p>
            <w:pPr>
              <w:pStyle w:val="Compact"/>
            </w:pPr>
            <w:r>
              <w:t xml:space="preserve">Authentification requise</w:t>
            </w:r>
          </w:p>
        </w:tc>
        <w:tc>
          <w:tcPr/>
          <w:p>
            <w:pPr>
              <w:pStyle w:val="Compact"/>
            </w:pPr>
            <w:r>
              <w:t xml:space="preserve">—</w:t>
            </w:r>
          </w:p>
        </w:tc>
        <w:tc>
          <w:tcPr/>
          <w:p>
            <w:pPr>
              <w:pStyle w:val="Compact"/>
            </w:pPr>
            <w:r>
              <w:t xml:space="preserve">1. Accéder à une ressource protégée sans jeton.</w:t>
            </w:r>
          </w:p>
        </w:tc>
        <w:tc>
          <w:tcPr/>
          <w:p>
            <w:pPr>
              <w:pStyle w:val="Compact"/>
            </w:pPr>
            <w:r>
              <w:t xml:space="preserve">Accès refusé (401/redirection)</w:t>
            </w:r>
          </w:p>
        </w:tc>
        <w:tc>
          <w:tcPr/>
          <w:p>
            <w:pPr>
              <w:pStyle w:val="Compact"/>
            </w:pPr>
          </w:p>
        </w:tc>
      </w:tr>
      <w:tr>
        <w:tc>
          <w:tcPr/>
          <w:p>
            <w:pPr>
              <w:pStyle w:val="Compact"/>
            </w:pPr>
            <w:r>
              <w:t xml:space="preserve">T-SEC-02</w:t>
            </w:r>
          </w:p>
        </w:tc>
        <w:tc>
          <w:tcPr/>
          <w:p>
            <w:pPr>
              <w:pStyle w:val="Compact"/>
            </w:pPr>
            <w:r>
              <w:t xml:space="preserve">Activation 2FA</w:t>
            </w:r>
          </w:p>
        </w:tc>
        <w:tc>
          <w:tcPr/>
          <w:p>
            <w:pPr>
              <w:pStyle w:val="Compact"/>
            </w:pPr>
            <w:r>
              <w:t xml:space="preserve">Compte manager</w:t>
            </w:r>
          </w:p>
        </w:tc>
        <w:tc>
          <w:tcPr/>
          <w:p>
            <w:pPr>
              <w:pStyle w:val="Compact"/>
            </w:pPr>
            <w:r>
              <w:t xml:space="preserve">1. Activer la 2FA TOTP. 2. Se reconnecter.</w:t>
            </w:r>
          </w:p>
        </w:tc>
        <w:tc>
          <w:tcPr/>
          <w:p>
            <w:pPr>
              <w:pStyle w:val="Compact"/>
            </w:pPr>
            <w:r>
              <w:t xml:space="preserve">Second facteur exigé et validé</w:t>
            </w:r>
          </w:p>
        </w:tc>
        <w:tc>
          <w:tcPr/>
          <w:p>
            <w:pPr>
              <w:pStyle w:val="Compact"/>
            </w:pPr>
          </w:p>
        </w:tc>
      </w:tr>
      <w:tr>
        <w:tc>
          <w:tcPr/>
          <w:p>
            <w:pPr>
              <w:pStyle w:val="Compact"/>
            </w:pPr>
            <w:r>
              <w:t xml:space="preserve">T-SEC-03</w:t>
            </w:r>
          </w:p>
        </w:tc>
        <w:tc>
          <w:tcPr/>
          <w:p>
            <w:pPr>
              <w:pStyle w:val="Compact"/>
            </w:pPr>
            <w:r>
              <w:t xml:space="preserve">RBAC — user cloisonné</w:t>
            </w:r>
          </w:p>
        </w:tc>
        <w:tc>
          <w:tcPr/>
          <w:p>
            <w:pPr>
              <w:pStyle w:val="Compact"/>
            </w:pPr>
            <w:r>
              <w:t xml:space="preserve">Deux</w:t>
            </w:r>
            <w:r>
              <w:t xml:space="preserve"> </w:t>
            </w:r>
            <w:r>
              <w:rPr>
                <w:rStyle w:val="VerbatimChar"/>
              </w:rPr>
              <w:t xml:space="preserve">user</w:t>
            </w:r>
            <w:r>
              <w:t xml:space="preserve"> </w:t>
            </w:r>
            <w:r>
              <w:t xml:space="preserve">dans ORG-A</w:t>
            </w:r>
          </w:p>
        </w:tc>
        <w:tc>
          <w:tcPr/>
          <w:p>
            <w:pPr>
              <w:pStyle w:val="Compact"/>
            </w:pPr>
            <w:r>
              <w:t xml:space="preserve">1. user1 crée une séance. 2. user2 tente d'y accéder.</w:t>
            </w:r>
          </w:p>
        </w:tc>
        <w:tc>
          <w:tcPr/>
          <w:p>
            <w:pPr>
              <w:pStyle w:val="Compact"/>
            </w:pPr>
            <w:r>
              <w:t xml:space="preserve">user2</w:t>
            </w:r>
            <w:r>
              <w:t xml:space="preserve"> </w:t>
            </w:r>
            <w:r>
              <w:rPr>
                <w:b/>
                <w:bCs/>
              </w:rPr>
              <w:t xml:space="preserve">ne voit pas</w:t>
            </w:r>
            <w:r>
              <w:t xml:space="preserve"> </w:t>
            </w:r>
            <w:r>
              <w:t xml:space="preserve">la séance de user1</w:t>
            </w:r>
          </w:p>
        </w:tc>
        <w:tc>
          <w:tcPr/>
          <w:p>
            <w:pPr>
              <w:pStyle w:val="Compact"/>
            </w:pPr>
          </w:p>
        </w:tc>
      </w:tr>
      <w:tr>
        <w:tc>
          <w:tcPr/>
          <w:p>
            <w:pPr>
              <w:pStyle w:val="Compact"/>
            </w:pPr>
            <w:r>
              <w:t xml:space="preserve">T-SEC-04</w:t>
            </w:r>
          </w:p>
        </w:tc>
        <w:tc>
          <w:tcPr/>
          <w:p>
            <w:pPr>
              <w:pStyle w:val="Compact"/>
            </w:pPr>
            <w:r>
              <w:t xml:space="preserve">Isolation multi-tenant</w:t>
            </w:r>
          </w:p>
        </w:tc>
        <w:tc>
          <w:tcPr/>
          <w:p>
            <w:pPr>
              <w:pStyle w:val="Compact"/>
            </w:pPr>
            <w:r>
              <w:t xml:space="preserve">ORG-A et ORG-B</w:t>
            </w:r>
          </w:p>
        </w:tc>
        <w:tc>
          <w:tcPr/>
          <w:p>
            <w:pPr>
              <w:pStyle w:val="Compact"/>
            </w:pPr>
            <w:r>
              <w:t xml:space="preserve">1. Un utilisateur d'ORG-B tente d'accéder aux données d'ORG-A (URL/API directe).</w:t>
            </w:r>
          </w:p>
        </w:tc>
        <w:tc>
          <w:tcPr/>
          <w:p>
            <w:pPr>
              <w:pStyle w:val="Compact"/>
            </w:pPr>
            <w:r>
              <w:t xml:space="preserve">Accès refusé, aucune fuite inter-organisations</w:t>
            </w:r>
          </w:p>
        </w:tc>
        <w:tc>
          <w:tcPr/>
          <w:p>
            <w:pPr>
              <w:pStyle w:val="Compact"/>
            </w:pPr>
          </w:p>
        </w:tc>
      </w:tr>
      <w:tr>
        <w:tc>
          <w:tcPr/>
          <w:p>
            <w:pPr>
              <w:pStyle w:val="Compact"/>
            </w:pPr>
            <w:r>
              <w:t xml:space="preserve">T-SEC-05</w:t>
            </w:r>
          </w:p>
        </w:tc>
        <w:tc>
          <w:tcPr/>
          <w:p>
            <w:pPr>
              <w:pStyle w:val="Compact"/>
            </w:pPr>
            <w:r>
              <w:t xml:space="preserve">Antivirus EICAR</w:t>
            </w:r>
          </w:p>
        </w:tc>
        <w:tc>
          <w:tcPr/>
          <w:p>
            <w:pPr>
              <w:pStyle w:val="Compact"/>
            </w:pPr>
            <w:r>
              <w:t xml:space="preserve">ClamAV actif</w:t>
            </w:r>
          </w:p>
        </w:tc>
        <w:tc>
          <w:tcPr/>
          <w:p>
            <w:pPr>
              <w:pStyle w:val="Compact"/>
            </w:pPr>
            <w:r>
              <w:t xml:space="preserve">1. Uploader le fichier</w:t>
            </w:r>
            <w:r>
              <w:t xml:space="preserve"> </w:t>
            </w:r>
            <w:r>
              <w:rPr>
                <w:rStyle w:val="VerbatimChar"/>
              </w:rPr>
              <w:t xml:space="preserve">EICAR.txt</w:t>
            </w:r>
            <w:r>
              <w:t xml:space="preserve">.</w:t>
            </w:r>
          </w:p>
        </w:tc>
        <w:tc>
          <w:tcPr/>
          <w:p>
            <w:pPr>
              <w:pStyle w:val="Compact"/>
            </w:pPr>
            <w:r>
              <w:t xml:space="preserve">Fichier</w:t>
            </w:r>
            <w:r>
              <w:t xml:space="preserve"> </w:t>
            </w:r>
            <w:r>
              <w:rPr>
                <w:b/>
                <w:bCs/>
              </w:rPr>
              <w:t xml:space="preserve">rejeté</w:t>
            </w:r>
            <w:r>
              <w:t xml:space="preserve">, alerte, événement journalisé</w:t>
            </w:r>
          </w:p>
        </w:tc>
        <w:tc>
          <w:tcPr/>
          <w:p>
            <w:pPr>
              <w:pStyle w:val="Compact"/>
            </w:pPr>
          </w:p>
        </w:tc>
      </w:tr>
      <w:tr>
        <w:tc>
          <w:tcPr/>
          <w:p>
            <w:pPr>
              <w:pStyle w:val="Compact"/>
            </w:pPr>
            <w:r>
              <w:t xml:space="preserve">T-SEC-06</w:t>
            </w:r>
          </w:p>
        </w:tc>
        <w:tc>
          <w:tcPr/>
          <w:p>
            <w:pPr>
              <w:pStyle w:val="Compact"/>
            </w:pPr>
            <w:r>
              <w:t xml:space="preserve">TLS / redirection HTTPS</w:t>
            </w:r>
          </w:p>
        </w:tc>
        <w:tc>
          <w:tcPr/>
          <w:p>
            <w:pPr>
              <w:pStyle w:val="Compact"/>
            </w:pPr>
            <w:r>
              <w:t xml:space="preserve">—</w:t>
            </w:r>
          </w:p>
        </w:tc>
        <w:tc>
          <w:tcPr/>
          <w:p>
            <w:pPr>
              <w:pStyle w:val="Compact"/>
            </w:pPr>
            <w:r>
              <w:t xml:space="preserve">1. Accès en HTTP (port 80). 2. Vérifier TLS.</w:t>
            </w:r>
          </w:p>
        </w:tc>
        <w:tc>
          <w:tcPr/>
          <w:p>
            <w:pPr>
              <w:pStyle w:val="Compact"/>
            </w:pPr>
            <w:r>
              <w:t xml:space="preserve">Redirection 80→443, TLS ≥ 1.2, HSTS présent</w:t>
            </w:r>
          </w:p>
        </w:tc>
        <w:tc>
          <w:tcPr/>
          <w:p>
            <w:pPr>
              <w:pStyle w:val="Compact"/>
            </w:pPr>
          </w:p>
        </w:tc>
      </w:tr>
      <w:tr>
        <w:tc>
          <w:tcPr/>
          <w:p>
            <w:pPr>
              <w:pStyle w:val="Compact"/>
            </w:pPr>
            <w:r>
              <w:t xml:space="preserve">T-SEC-07</w:t>
            </w:r>
          </w:p>
        </w:tc>
        <w:tc>
          <w:tcPr/>
          <w:p>
            <w:pPr>
              <w:pStyle w:val="Compact"/>
            </w:pPr>
            <w:r>
              <w:t xml:space="preserve">Verrouillage / rate limiting</w:t>
            </w:r>
          </w:p>
        </w:tc>
        <w:tc>
          <w:tcPr/>
          <w:p>
            <w:pPr>
              <w:pStyle w:val="Compact"/>
            </w:pPr>
            <w:r>
              <w:t xml:space="preserve">—</w:t>
            </w:r>
          </w:p>
        </w:tc>
        <w:tc>
          <w:tcPr/>
          <w:p>
            <w:pPr>
              <w:pStyle w:val="Compact"/>
            </w:pPr>
            <w:r>
              <w:t xml:space="preserve">1. Tentatives de connexion répétées échouées.</w:t>
            </w:r>
          </w:p>
        </w:tc>
        <w:tc>
          <w:tcPr/>
          <w:p>
            <w:pPr>
              <w:pStyle w:val="Compact"/>
            </w:pPr>
            <w:r>
              <w:t xml:space="preserve">Limitation / verrouillage déclenché</w:t>
            </w:r>
          </w:p>
        </w:tc>
        <w:tc>
          <w:tcPr/>
          <w:p>
            <w:pPr>
              <w:pStyle w:val="Compact"/>
            </w:pPr>
          </w:p>
        </w:tc>
      </w:tr>
      <w:tr>
        <w:tc>
          <w:tcPr/>
          <w:p>
            <w:pPr>
              <w:pStyle w:val="Compact"/>
            </w:pPr>
            <w:r>
              <w:t xml:space="preserve">T-SEC-08</w:t>
            </w:r>
          </w:p>
        </w:tc>
        <w:tc>
          <w:tcPr/>
          <w:p>
            <w:pPr>
              <w:pStyle w:val="Compact"/>
            </w:pPr>
            <w:r>
              <w:t xml:space="preserve">Audit trail</w:t>
            </w:r>
          </w:p>
        </w:tc>
        <w:tc>
          <w:tcPr/>
          <w:p>
            <w:pPr>
              <w:pStyle w:val="Compact"/>
            </w:pPr>
            <w:r>
              <w:t xml:space="preserve">Actions réalisées</w:t>
            </w:r>
          </w:p>
        </w:tc>
        <w:tc>
          <w:tcPr/>
          <w:p>
            <w:pPr>
              <w:pStyle w:val="Compact"/>
            </w:pPr>
            <w:r>
              <w:t xml:space="preserve">1. Consulter</w:t>
            </w:r>
            <w:r>
              <w:t xml:space="preserve"> </w:t>
            </w:r>
            <w:r>
              <w:rPr>
                <w:rStyle w:val="VerbatimChar"/>
              </w:rPr>
              <w:t xml:space="preserve">activity_logs</w:t>
            </w:r>
            <w:r>
              <w:t xml:space="preserve"> </w:t>
            </w:r>
            <w:r>
              <w:t xml:space="preserve">et</w:t>
            </w:r>
            <w:r>
              <w:t xml:space="preserve"> </w:t>
            </w:r>
            <w:r>
              <w:rPr>
                <w:rStyle w:val="VerbatimChar"/>
              </w:rPr>
              <w:t xml:space="preserve">public.audit_logs</w:t>
            </w:r>
            <w:r>
              <w:t xml:space="preserve">. 2. Exporter CSV/JSON.</w:t>
            </w:r>
          </w:p>
        </w:tc>
        <w:tc>
          <w:tcPr/>
          <w:p>
            <w:pPr>
              <w:pStyle w:val="Compact"/>
            </w:pPr>
            <w:r>
              <w:t xml:space="preserve">Actions tracées, export généré</w:t>
            </w:r>
          </w:p>
        </w:tc>
        <w:tc>
          <w:tcPr/>
          <w:p>
            <w:pPr>
              <w:pStyle w:val="Compact"/>
            </w:pPr>
          </w:p>
        </w:tc>
      </w:tr>
      <w:tr>
        <w:tc>
          <w:tcPr/>
          <w:p>
            <w:pPr>
              <w:pStyle w:val="Compact"/>
            </w:pPr>
            <w:r>
              <w:t xml:space="preserve">T-SEC-09</w:t>
            </w:r>
          </w:p>
        </w:tc>
        <w:tc>
          <w:tcPr/>
          <w:p>
            <w:pPr>
              <w:pStyle w:val="Compact"/>
            </w:pPr>
            <w:r>
              <w:t xml:space="preserve">Step-up sur action destructive</w:t>
            </w:r>
          </w:p>
        </w:tc>
        <w:tc>
          <w:tcPr/>
          <w:p>
            <w:pPr>
              <w:pStyle w:val="Compact"/>
            </w:pPr>
            <w:r>
              <w:t xml:space="preserve">manager</w:t>
            </w:r>
          </w:p>
        </w:tc>
        <w:tc>
          <w:tcPr/>
          <w:p>
            <w:pPr>
              <w:pStyle w:val="Compact"/>
            </w:pPr>
            <w:r>
              <w:t xml:space="preserve">1. Lancer une suppression.</w:t>
            </w:r>
          </w:p>
        </w:tc>
        <w:tc>
          <w:tcPr/>
          <w:p>
            <w:pPr>
              <w:pStyle w:val="Compact"/>
            </w:pPr>
            <w:r>
              <w:t xml:space="preserve">Ressaisie du mot de passe exigée</w:t>
            </w:r>
          </w:p>
        </w:tc>
        <w:tc>
          <w:tcPr/>
          <w:p>
            <w:pPr>
              <w:pStyle w:val="Compact"/>
            </w:pPr>
          </w:p>
        </w:tc>
      </w:tr>
      <w:tr>
        <w:tc>
          <w:tcPr/>
          <w:p>
            <w:pPr>
              <w:pStyle w:val="Compact"/>
            </w:pPr>
            <w:r>
              <w:t xml:space="preserve">T-SEC-10</w:t>
            </w:r>
          </w:p>
        </w:tc>
        <w:tc>
          <w:tcPr/>
          <w:p>
            <w:pPr>
              <w:pStyle w:val="Compact"/>
            </w:pPr>
            <w:r>
              <w:t xml:space="preserve">Anti-SSRF LLM d'organisation</w:t>
            </w:r>
          </w:p>
        </w:tc>
        <w:tc>
          <w:tcPr/>
          <w:p>
            <w:pPr>
              <w:pStyle w:val="Compact"/>
            </w:pPr>
            <w:r>
              <w:t xml:space="preserve">Config LLM org</w:t>
            </w:r>
          </w:p>
        </w:tc>
        <w:tc>
          <w:tcPr/>
          <w:p>
            <w:pPr>
              <w:pStyle w:val="Compact"/>
            </w:pPr>
            <w:r>
              <w:t xml:space="preserve">1. Configurer une URL LLM pointant une IP privée/metadata.</w:t>
            </w:r>
          </w:p>
        </w:tc>
        <w:tc>
          <w:tcPr/>
          <w:p>
            <w:pPr>
              <w:pStyle w:val="Compact"/>
            </w:pPr>
            <w:r>
              <w:t xml:space="preserve">Requête</w:t>
            </w:r>
            <w:r>
              <w:t xml:space="preserve"> </w:t>
            </w:r>
            <w:r>
              <w:rPr>
                <w:b/>
                <w:bCs/>
              </w:rPr>
              <w:t xml:space="preserve">bloquée</w:t>
            </w:r>
            <w:r>
              <w:t xml:space="preserve"> </w:t>
            </w:r>
            <w:r>
              <w:t xml:space="preserve">par la garde anti-SSRF</w:t>
            </w:r>
          </w:p>
        </w:tc>
        <w:tc>
          <w:tcPr/>
          <w:p>
            <w:pPr>
              <w:pStyle w:val="Compact"/>
            </w:pPr>
          </w:p>
        </w:tc>
      </w:tr>
      <w:tr>
        <w:tc>
          <w:tcPr/>
          <w:p>
            <w:pPr>
              <w:pStyle w:val="Compact"/>
            </w:pPr>
            <w:r>
              <w:t xml:space="preserve">T-SEC-11</w:t>
            </w:r>
          </w:p>
        </w:tc>
        <w:tc>
          <w:tcPr/>
          <w:p>
            <w:pPr>
              <w:pStyle w:val="Compact"/>
            </w:pPr>
            <w:r>
              <w:t xml:space="preserve">Absence de flux Internet sortant</w:t>
            </w:r>
          </w:p>
        </w:tc>
        <w:tc>
          <w:tcPr/>
          <w:p>
            <w:pPr>
              <w:pStyle w:val="Compact"/>
            </w:pPr>
            <w:r>
              <w:t xml:space="preserve">Variante isolée</w:t>
            </w:r>
          </w:p>
        </w:tc>
        <w:tc>
          <w:tcPr/>
          <w:p>
            <w:pPr>
              <w:pStyle w:val="Compact"/>
            </w:pPr>
            <w:r>
              <w:t xml:space="preserve">1. Surveiller les flux sortants pendant un cycle complet (upload→IA→export).</w:t>
            </w:r>
          </w:p>
        </w:tc>
        <w:tc>
          <w:tcPr/>
          <w:p>
            <w:pPr>
              <w:pStyle w:val="Compact"/>
            </w:pPr>
            <w:r>
              <w:rPr>
                <w:b/>
                <w:bCs/>
              </w:rPr>
              <w:t xml:space="preserve">Aucun</w:t>
            </w:r>
            <w:r>
              <w:t xml:space="preserve"> </w:t>
            </w:r>
            <w:r>
              <w:t xml:space="preserve">flux Internet sortant observé</w:t>
            </w:r>
          </w:p>
        </w:tc>
        <w:tc>
          <w:tcPr/>
          <w:p>
            <w:pPr>
              <w:pStyle w:val="Compact"/>
            </w:pPr>
          </w:p>
        </w:tc>
      </w:tr>
    </w:tbl>
    <w:p>
      <w:r>
        <w:pict>
          <v:rect style="width:0;height:1.5pt" o:hralign="center" o:hrstd="t" o:hr="t"/>
        </w:pict>
      </w:r>
    </w:p>
    <w:bookmarkEnd w:id="144"/>
    <w:bookmarkStart w:id="145" w:name="Xe6489c19cc2da23dafc601935ff2de789ec1436"/>
    <w:p>
      <w:pPr>
        <w:pStyle w:val="Heading2"/>
      </w:pPr>
      <w:r>
        <w:t xml:space="preserve">6. Tests de performance (T-PERF)</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ID</w:t>
            </w:r>
          </w:p>
        </w:tc>
        <w:tc>
          <w:tcPr/>
          <w:p>
            <w:pPr>
              <w:pStyle w:val="Compact"/>
            </w:pPr>
            <w:r>
              <w:t xml:space="preserve">Objectif</w:t>
            </w:r>
          </w:p>
        </w:tc>
        <w:tc>
          <w:tcPr/>
          <w:p>
            <w:pPr>
              <w:pStyle w:val="Compact"/>
            </w:pPr>
            <w:r>
              <w:t xml:space="preserve">Prérequis</w:t>
            </w:r>
          </w:p>
        </w:tc>
        <w:tc>
          <w:tcPr/>
          <w:p>
            <w:pPr>
              <w:pStyle w:val="Compact"/>
            </w:pPr>
            <w:r>
              <w:t xml:space="preserve">Étapes</w:t>
            </w:r>
          </w:p>
        </w:tc>
        <w:tc>
          <w:tcPr/>
          <w:p>
            <w:pPr>
              <w:pStyle w:val="Compact"/>
            </w:pPr>
            <w:r>
              <w:t xml:space="preserve">Résultat attendu</w:t>
            </w:r>
          </w:p>
        </w:tc>
        <w:tc>
          <w:tcPr/>
          <w:p>
            <w:pPr>
              <w:pStyle w:val="Compact"/>
            </w:pPr>
            <w:r>
              <w:t xml:space="preserve">Statut</w:t>
            </w:r>
          </w:p>
        </w:tc>
      </w:tr>
      <w:tr>
        <w:tc>
          <w:tcPr/>
          <w:p>
            <w:pPr>
              <w:pStyle w:val="Compact"/>
            </w:pPr>
            <w:r>
              <w:t xml:space="preserve">T-PERF-01</w:t>
            </w:r>
          </w:p>
        </w:tc>
        <w:tc>
          <w:tcPr/>
          <w:p>
            <w:pPr>
              <w:pStyle w:val="Compact"/>
            </w:pPr>
            <w:r>
              <w:t xml:space="preserve">Transcription fichier 1 h</w:t>
            </w:r>
          </w:p>
        </w:tc>
        <w:tc>
          <w:tcPr/>
          <w:p>
            <w:pPr>
              <w:pStyle w:val="Compact"/>
            </w:pPr>
            <w:r>
              <w:rPr>
                <w:rStyle w:val="VerbatimChar"/>
              </w:rPr>
              <w:t xml:space="preserve">audio_1h</w:t>
            </w:r>
            <w:r>
              <w:t xml:space="preserve">, GPU</w:t>
            </w:r>
          </w:p>
        </w:tc>
        <w:tc>
          <w:tcPr/>
          <w:p>
            <w:pPr>
              <w:pStyle w:val="Compact"/>
            </w:pPr>
            <w:r>
              <w:t xml:space="preserve">1. Uploader</w:t>
            </w:r>
            <w:r>
              <w:t xml:space="preserve"> </w:t>
            </w:r>
            <w:r>
              <w:rPr>
                <w:rStyle w:val="VerbatimChar"/>
              </w:rPr>
              <w:t xml:space="preserve">audio_1h</w:t>
            </w:r>
            <w:r>
              <w:t xml:space="preserve">. 2. Mesurer le temps total de transcription.</w:t>
            </w:r>
          </w:p>
        </w:tc>
        <w:tc>
          <w:tcPr/>
          <w:p>
            <w:pPr>
              <w:pStyle w:val="Compact"/>
            </w:pPr>
            <w:r>
              <w:t xml:space="preserve">Temps ≤ cible</w:t>
            </w:r>
            <w:r>
              <w:t xml:space="preserve"> </w:t>
            </w:r>
            <w:r>
              <w:rPr>
                <w:rStyle w:val="VerbatimChar"/>
              </w:rPr>
              <w:t xml:space="preserve">[à établir sur la config retenue]</w:t>
            </w:r>
          </w:p>
        </w:tc>
        <w:tc>
          <w:tcPr/>
          <w:p>
            <w:pPr>
              <w:pStyle w:val="Compact"/>
            </w:pPr>
          </w:p>
        </w:tc>
      </w:tr>
      <w:tr>
        <w:tc>
          <w:tcPr/>
          <w:p>
            <w:pPr>
              <w:pStyle w:val="Compact"/>
            </w:pPr>
            <w:r>
              <w:t xml:space="preserve">T-PERF-02</w:t>
            </w:r>
          </w:p>
        </w:tc>
        <w:tc>
          <w:tcPr/>
          <w:p>
            <w:pPr>
              <w:pStyle w:val="Compact"/>
            </w:pPr>
            <w:r>
              <w:t xml:space="preserve">Génération IA (LLM local)</w:t>
            </w:r>
          </w:p>
        </w:tc>
        <w:tc>
          <w:tcPr/>
          <w:p>
            <w:pPr>
              <w:pStyle w:val="Compact"/>
            </w:pPr>
            <w:r>
              <w:t xml:space="preserve">LLM local</w:t>
            </w:r>
          </w:p>
        </w:tc>
        <w:tc>
          <w:tcPr/>
          <w:p>
            <w:pPr>
              <w:pStyle w:val="Compact"/>
            </w:pPr>
            <w:r>
              <w:t xml:space="preserve">1. Lancer un PV sur une longue transcription. 2. Mesurer la latence.</w:t>
            </w:r>
          </w:p>
        </w:tc>
        <w:tc>
          <w:tcPr/>
          <w:p>
            <w:pPr>
              <w:pStyle w:val="Compact"/>
            </w:pPr>
            <w:r>
              <w:t xml:space="preserve">Latence ≤ cible</w:t>
            </w:r>
            <w:r>
              <w:t xml:space="preserve"> </w:t>
            </w:r>
            <w:r>
              <w:rPr>
                <w:rStyle w:val="VerbatimChar"/>
              </w:rPr>
              <w:t xml:space="preserve">[à établir sur la config retenue]</w:t>
            </w:r>
          </w:p>
        </w:tc>
        <w:tc>
          <w:tcPr/>
          <w:p>
            <w:pPr>
              <w:pStyle w:val="Compact"/>
            </w:pPr>
          </w:p>
        </w:tc>
      </w:tr>
      <w:tr>
        <w:tc>
          <w:tcPr/>
          <w:p>
            <w:pPr>
              <w:pStyle w:val="Compact"/>
            </w:pPr>
            <w:r>
              <w:t xml:space="preserve">T-PERF-03</w:t>
            </w:r>
          </w:p>
        </w:tc>
        <w:tc>
          <w:tcPr/>
          <w:p>
            <w:pPr>
              <w:pStyle w:val="Compact"/>
            </w:pPr>
            <w:r>
              <w:t xml:space="preserve">Charge N utilisateurs simultanés</w:t>
            </w:r>
          </w:p>
        </w:tc>
        <w:tc>
          <w:tcPr/>
          <w:p>
            <w:pPr>
              <w:pStyle w:val="Compact"/>
            </w:pPr>
            <w:r>
              <w:t xml:space="preserve">Outil de charge</w:t>
            </w:r>
          </w:p>
        </w:tc>
        <w:tc>
          <w:tcPr/>
          <w:p>
            <w:pPr>
              <w:pStyle w:val="Compact"/>
            </w:pPr>
            <w:r>
              <w:t xml:space="preserve">1. Simuler N utilisateurs (</w:t>
            </w:r>
            <w:r>
              <w:rPr>
                <w:rStyle w:val="VerbatimChar"/>
              </w:rPr>
              <w:t xml:space="preserve">[N à définir]</w:t>
            </w:r>
            <w:r>
              <w:t xml:space="preserve">) en navigation + upload.</w:t>
            </w:r>
          </w:p>
        </w:tc>
        <w:tc>
          <w:tcPr/>
          <w:p>
            <w:pPr>
              <w:pStyle w:val="Compact"/>
            </w:pPr>
            <w:r>
              <w:t xml:space="preserve">Pas d'erreur, temps de réponse maîtrisés</w:t>
            </w:r>
          </w:p>
        </w:tc>
        <w:tc>
          <w:tcPr/>
          <w:p>
            <w:pPr>
              <w:pStyle w:val="Compact"/>
            </w:pPr>
          </w:p>
        </w:tc>
      </w:tr>
      <w:tr>
        <w:tc>
          <w:tcPr/>
          <w:p>
            <w:pPr>
              <w:pStyle w:val="Compact"/>
            </w:pPr>
            <w:r>
              <w:t xml:space="preserve">T-PERF-04</w:t>
            </w:r>
          </w:p>
        </w:tc>
        <w:tc>
          <w:tcPr/>
          <w:p>
            <w:pPr>
              <w:pStyle w:val="Compact"/>
            </w:pPr>
            <w:r>
              <w:t xml:space="preserve">Temps de réponse API</w:t>
            </w:r>
          </w:p>
        </w:tc>
        <w:tc>
          <w:tcPr/>
          <w:p>
            <w:pPr>
              <w:pStyle w:val="Compact"/>
            </w:pPr>
            <w:r>
              <w:t xml:space="preserve">—</w:t>
            </w:r>
          </w:p>
        </w:tc>
        <w:tc>
          <w:tcPr/>
          <w:p>
            <w:pPr>
              <w:pStyle w:val="Compact"/>
            </w:pPr>
            <w:r>
              <w:t xml:space="preserve">1. Mesurer les temps de réponse des endpoints clés (liste séances, détail).</w:t>
            </w:r>
          </w:p>
        </w:tc>
        <w:tc>
          <w:tcPr/>
          <w:p>
            <w:pPr>
              <w:pStyle w:val="Compact"/>
            </w:pPr>
            <w:r>
              <w:t xml:space="preserve">Réponses &lt; seuils</w:t>
            </w:r>
            <w:r>
              <w:t xml:space="preserve"> </w:t>
            </w:r>
            <w:r>
              <w:rPr>
                <w:rStyle w:val="VerbatimChar"/>
              </w:rPr>
              <w:t xml:space="preserve">[à établir]</w:t>
            </w:r>
            <w:r>
              <w:t xml:space="preserve"> </w:t>
            </w:r>
            <w:r>
              <w:t xml:space="preserve">(hors traitements longs asynchrones)</w:t>
            </w:r>
          </w:p>
        </w:tc>
        <w:tc>
          <w:tcPr/>
          <w:p>
            <w:pPr>
              <w:pStyle w:val="Compact"/>
            </w:pPr>
          </w:p>
        </w:tc>
      </w:tr>
      <w:tr>
        <w:tc>
          <w:tcPr/>
          <w:p>
            <w:pPr>
              <w:pStyle w:val="Compact"/>
            </w:pPr>
            <w:r>
              <w:t xml:space="preserve">T-PERF-05</w:t>
            </w:r>
          </w:p>
        </w:tc>
        <w:tc>
          <w:tcPr/>
          <w:p>
            <w:pPr>
              <w:pStyle w:val="Compact"/>
            </w:pPr>
            <w:r>
              <w:t xml:space="preserve">Débit de la file de transcription</w:t>
            </w:r>
          </w:p>
        </w:tc>
        <w:tc>
          <w:tcPr/>
          <w:p>
            <w:pPr>
              <w:pStyle w:val="Compact"/>
            </w:pPr>
            <w:r>
              <w:t xml:space="preserve">Plusieurs fichiers</w:t>
            </w:r>
          </w:p>
        </w:tc>
        <w:tc>
          <w:tcPr/>
          <w:p>
            <w:pPr>
              <w:pStyle w:val="Compact"/>
            </w:pPr>
            <w:r>
              <w:t xml:space="preserve">1. Déposer plusieurs fichiers simultanément.</w:t>
            </w:r>
          </w:p>
        </w:tc>
        <w:tc>
          <w:tcPr/>
          <w:p>
            <w:pPr>
              <w:pStyle w:val="Compact"/>
            </w:pPr>
            <w:r>
              <w:t xml:space="preserve">Traitement séquencé sans blocage, watchdog opérationnel</w:t>
            </w:r>
          </w:p>
        </w:tc>
        <w:tc>
          <w:tcPr/>
          <w:p>
            <w:pPr>
              <w:pStyle w:val="Compact"/>
            </w:pPr>
          </w:p>
        </w:tc>
      </w:tr>
    </w:tbl>
    <w:p>
      <w:pPr>
        <w:pStyle w:val="BlockText"/>
      </w:pPr>
      <w:r>
        <w:t xml:space="preserve">Les valeurs cibles de performance seront</w:t>
      </w:r>
      <w:r>
        <w:t xml:space="preserve"> </w:t>
      </w:r>
      <w:r>
        <w:rPr>
          <w:b/>
          <w:bCs/>
        </w:rPr>
        <w:t xml:space="preserve">établies sur la configuration matérielle retenue</w:t>
      </w:r>
      <w:r>
        <w:t xml:space="preserve"> </w:t>
      </w:r>
      <w:r>
        <w:t xml:space="preserve">(voir DCD §5 et §9) et consignées dans ce tableau avant recette.</w:t>
      </w:r>
    </w:p>
    <w:p>
      <w:r>
        <w:pict>
          <v:rect style="width:0;height:1.5pt" o:hralign="center" o:hrstd="t" o:hr="t"/>
        </w:pict>
      </w:r>
    </w:p>
    <w:bookmarkEnd w:id="145"/>
    <w:bookmarkStart w:id="154" w:name="X47d4accfcd787a54181da2b61540198742ce812"/>
    <w:p>
      <w:pPr>
        <w:pStyle w:val="Heading2"/>
      </w:pPr>
      <w:r>
        <w:t xml:space="preserve">7. Tests de bascule et de reprise (T-BASCULE)</w:t>
      </w:r>
    </w:p>
    <w:bookmarkStart w:id="146" w:name="X6f051cc759318028f23aca13bba51847c142998"/>
    <w:p>
      <w:pPr>
        <w:pStyle w:val="Heading3"/>
      </w:pPr>
      <w:r>
        <w:t xml:space="preserve">7.1 T-BASCULE-01 — Arrêt d'un service → reprise automatique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Champ</w:t>
            </w:r>
          </w:p>
        </w:tc>
        <w:tc>
          <w:tcPr/>
          <w:p>
            <w:pPr>
              <w:pStyle w:val="Compact"/>
            </w:pPr>
            <w:r>
              <w:t xml:space="preserve">Valeur</w:t>
            </w:r>
          </w:p>
        </w:tc>
      </w:tr>
      <w:tr>
        <w:tc>
          <w:tcPr/>
          <w:p>
            <w:pPr>
              <w:pStyle w:val="Compact"/>
            </w:pPr>
            <w:r>
              <w:t xml:space="preserve">Objectif</w:t>
            </w:r>
          </w:p>
        </w:tc>
        <w:tc>
          <w:tcPr/>
          <w:p>
            <w:pPr>
              <w:pStyle w:val="Compact"/>
            </w:pPr>
            <w:r>
              <w:t xml:space="preserve">Vérifier la reprise automatique d'un service applicatif</w:t>
            </w:r>
          </w:p>
        </w:tc>
      </w:tr>
      <w:tr>
        <w:tc>
          <w:tcPr/>
          <w:p>
            <w:pPr>
              <w:pStyle w:val="Compact"/>
            </w:pPr>
            <w:r>
              <w:t xml:space="preserve">Prérequis</w:t>
            </w:r>
          </w:p>
        </w:tc>
        <w:tc>
          <w:tcPr/>
          <w:p>
            <w:pPr>
              <w:pStyle w:val="Compact"/>
            </w:pPr>
            <w:r>
              <w:t xml:space="preserve">Stack saine sur Salle A</w:t>
            </w:r>
          </w:p>
        </w:tc>
      </w:tr>
      <w:tr>
        <w:tc>
          <w:tcPr/>
          <w:p>
            <w:pPr>
              <w:pStyle w:val="Compact"/>
            </w:pPr>
            <w:r>
              <w:t xml:space="preserve">Étapes</w:t>
            </w:r>
          </w:p>
        </w:tc>
        <w:tc>
          <w:tcPr/>
          <w:p>
            <w:pPr>
              <w:pStyle w:val="Compact"/>
            </w:pPr>
            <w:r>
              <w:t xml:space="preserve">1. Arrêter le conteneur</w:t>
            </w:r>
            <w:r>
              <w:t xml:space="preserve"> </w:t>
            </w:r>
            <w:r>
              <w:rPr>
                <w:rStyle w:val="VerbatimChar"/>
              </w:rPr>
              <w:t xml:space="preserve">app</w:t>
            </w:r>
            <w:r>
              <w:t xml:space="preserve">. 2. Observer la reprise (</w:t>
            </w:r>
            <w:r>
              <w:rPr>
                <w:rStyle w:val="VerbatimChar"/>
              </w:rPr>
              <w:t xml:space="preserve">restart: unless-stopped</w:t>
            </w:r>
            <w:r>
              <w:t xml:space="preserve">). 3. Redémarrer nginx (piège 502). 4. Vérifier la santé (EXPL-03).</w:t>
            </w:r>
          </w:p>
        </w:tc>
      </w:tr>
      <w:tr>
        <w:tc>
          <w:tcPr/>
          <w:p>
            <w:pPr>
              <w:pStyle w:val="Compact"/>
            </w:pPr>
            <w:r>
              <w:t xml:space="preserve">Résultat attendu</w:t>
            </w:r>
          </w:p>
        </w:tc>
        <w:tc>
          <w:tcPr/>
          <w:p>
            <w:pPr>
              <w:pStyle w:val="Compact"/>
            </w:pPr>
            <w:r>
              <w:t xml:space="preserve">Service rétabli automatiquement, application de nouveau opérationnelle, RPO nul</w:t>
            </w:r>
          </w:p>
        </w:tc>
      </w:tr>
      <w:tr>
        <w:tc>
          <w:tcPr/>
          <w:p>
            <w:pPr>
              <w:pStyle w:val="Compact"/>
            </w:pPr>
            <w:r>
              <w:t xml:space="preserve">Statut</w:t>
            </w:r>
          </w:p>
        </w:tc>
        <w:tc>
          <w:tcPr/>
          <w:p>
            <w:pPr>
              <w:pStyle w:val="Compact"/>
            </w:pPr>
          </w:p>
        </w:tc>
      </w:tr>
    </w:tbl>
    <w:bookmarkEnd w:id="146"/>
    <w:bookmarkStart w:id="147" w:name="X26fb5fe252b6642991cecfbac7b64f10c0a27e3"/>
    <w:p>
      <w:pPr>
        <w:pStyle w:val="Heading3"/>
      </w:pPr>
      <w:r>
        <w:t xml:space="preserve">7.2 T-BASCULE-02 — Arrêt du serveur applicatif Salle 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Champ</w:t>
            </w:r>
          </w:p>
        </w:tc>
        <w:tc>
          <w:tcPr/>
          <w:p>
            <w:pPr>
              <w:pStyle w:val="Compact"/>
            </w:pPr>
            <w:r>
              <w:t xml:space="preserve">Valeur</w:t>
            </w:r>
          </w:p>
        </w:tc>
      </w:tr>
      <w:tr>
        <w:tc>
          <w:tcPr/>
          <w:p>
            <w:pPr>
              <w:pStyle w:val="Compact"/>
            </w:pPr>
            <w:r>
              <w:t xml:space="preserve">Objectif</w:t>
            </w:r>
          </w:p>
        </w:tc>
        <w:tc>
          <w:tcPr/>
          <w:p>
            <w:pPr>
              <w:pStyle w:val="Compact"/>
            </w:pPr>
            <w:r>
              <w:t xml:space="preserve">Vérifier le comportement en cas de perte de l'hôte applicatif (site principal par ailleurs disponible)</w:t>
            </w:r>
          </w:p>
        </w:tc>
      </w:tr>
      <w:tr>
        <w:tc>
          <w:tcPr/>
          <w:p>
            <w:pPr>
              <w:pStyle w:val="Compact"/>
            </w:pPr>
            <w:r>
              <w:t xml:space="preserve">Prérequis</w:t>
            </w:r>
          </w:p>
        </w:tc>
        <w:tc>
          <w:tcPr/>
          <w:p>
            <w:pPr>
              <w:pStyle w:val="Compact"/>
            </w:pPr>
            <w:r>
              <w:t xml:space="preserve">Stack saine, supervision active</w:t>
            </w:r>
          </w:p>
        </w:tc>
      </w:tr>
      <w:tr>
        <w:tc>
          <w:tcPr/>
          <w:p>
            <w:pPr>
              <w:pStyle w:val="Compact"/>
            </w:pPr>
            <w:r>
              <w:t xml:space="preserve">Étapes</w:t>
            </w:r>
          </w:p>
        </w:tc>
        <w:tc>
          <w:tcPr/>
          <w:p>
            <w:pPr>
              <w:pStyle w:val="Compact"/>
            </w:pPr>
            <w:r>
              <w:t xml:space="preserve">1. Arrêter le serveur applicatif Salle A. 2. Observer la détection. 3. Redémarrer l'hôte / la stack. 4. Vérifier la santé.</w:t>
            </w:r>
          </w:p>
        </w:tc>
      </w:tr>
      <w:tr>
        <w:tc>
          <w:tcPr/>
          <w:p>
            <w:pPr>
              <w:pStyle w:val="Compact"/>
            </w:pPr>
            <w:r>
              <w:t xml:space="preserve">Résultat attendu</w:t>
            </w:r>
          </w:p>
        </w:tc>
        <w:tc>
          <w:tcPr/>
          <w:p>
            <w:pPr>
              <w:pStyle w:val="Compact"/>
            </w:pPr>
            <w:r>
              <w:t xml:space="preserve">Détection par la supervision, rétablissement après redémarrage, aucune perte de données</w:t>
            </w:r>
          </w:p>
        </w:tc>
      </w:tr>
      <w:tr>
        <w:tc>
          <w:tcPr/>
          <w:p>
            <w:pPr>
              <w:pStyle w:val="Compact"/>
            </w:pPr>
            <w:r>
              <w:t xml:space="preserve">Statut</w:t>
            </w:r>
          </w:p>
        </w:tc>
        <w:tc>
          <w:tcPr/>
          <w:p>
            <w:pPr>
              <w:pStyle w:val="Compact"/>
            </w:pPr>
          </w:p>
        </w:tc>
      </w:tr>
    </w:tbl>
    <w:bookmarkEnd w:id="147"/>
    <w:bookmarkStart w:id="150" w:name="X03580bb0c30da34c418c1ca629ee58118717a90"/>
    <w:p>
      <w:pPr>
        <w:pStyle w:val="Heading3"/>
      </w:pPr>
      <w:r>
        <w:t xml:space="preserve">7.3 T-BASCULE-03 — Perte de la Salle A → promotion Salle B</w:t>
      </w:r>
    </w:p>
    <w:p>
      <w:pPr>
        <w:pStyle w:val="FirstParagraph"/>
      </w:pPr>
      <w:r>
        <w:drawing>
          <wp:inline>
            <wp:extent cx="5334000" cy="1250526"/>
            <wp:effectExtent b="0" l="0" r="0" t="0"/>
            <wp:docPr descr="Chronologie de bascule" title="" id="148" name="Picture"/>
            <a:graphic>
              <a:graphicData uri="http://schemas.openxmlformats.org/drawingml/2006/picture">
                <pic:pic>
                  <pic:nvPicPr>
                    <pic:cNvPr descr="img/bascule.png" id="149" name="Picture"/>
                    <pic:cNvPicPr>
                      <a:picLocks noChangeArrowheads="1" noChangeAspect="1"/>
                    </pic:cNvPicPr>
                  </pic:nvPicPr>
                  <pic:blipFill>
                    <a:blip r:embed="rId104"/>
                    <a:stretch>
                      <a:fillRect/>
                    </a:stretch>
                  </pic:blipFill>
                  <pic:spPr bwMode="auto">
                    <a:xfrm>
                      <a:off x="0" y="0"/>
                      <a:ext cx="5334000" cy="1250526"/>
                    </a:xfrm>
                    <a:prstGeom prst="rect">
                      <a:avLst/>
                    </a:prstGeom>
                    <a:noFill/>
                    <a:ln w="9525">
                      <a:noFill/>
                      <a:headEnd/>
                      <a:tailEnd/>
                    </a:ln>
                  </pic:spPr>
                </pic:pic>
              </a:graphicData>
            </a:graphic>
          </wp:inline>
        </w:drawing>
      </w:r>
    </w:p>
    <w:p>
      <w:pPr>
        <w:pStyle w:val="BodyText"/>
      </w:pPr>
      <w:r>
        <w:rPr>
          <w:i/>
          <w:iCs/>
        </w:rPr>
        <w:t xml:space="preserve">Figure 1 — Chronologie du test de bascule : perte du site principal (Salle A), promotion du standby (Salle B) et bascule VIP/DNS, mesure du RTO (objectif 4 h) et du RPO (version Visio .vsdx remise en phase d'implantation).</w:t>
      </w:r>
    </w:p>
    <w:p>
      <w:pPr>
        <w:pStyle w:val="BodyText"/>
      </w:pPr>
      <w:r>
        <w:rPr>
          <w:b/>
          <w:bCs/>
        </w:rPr>
        <w:t xml:space="preserve">Version texte du synoptique :</w:t>
      </w:r>
    </w:p>
    <w:p>
      <w:pPr>
        <w:pStyle w:val="SourceCode"/>
      </w:pPr>
      <w:r>
        <w:rPr>
          <w:rStyle w:val="VerbatimChar"/>
        </w:rPr>
        <w:t xml:space="preserve">   ÉTAT INITIAL                          PENDANT LE TEST</w:t>
      </w:r>
      <w:r>
        <w:br/>
      </w:r>
      <w:r>
        <w:rPr>
          <w:rStyle w:val="VerbatimChar"/>
        </w:rPr>
        <w:t xml:space="preserve">   ┌──────────┐  réplication ┌──────────┐   ┌──────────┐         ┌──────────┐</w:t>
      </w:r>
      <w:r>
        <w:br/>
      </w:r>
      <w:r>
        <w:rPr>
          <w:rStyle w:val="VerbatimChar"/>
        </w:rPr>
        <w:t xml:space="preserve">   │ Salle A app  │─────────────►│ Salle B app  │   │ Salle A app  │  (OFF)  │ Salle B app  │</w:t>
      </w:r>
      <w:r>
        <w:br/>
      </w:r>
      <w:r>
        <w:rPr>
          <w:rStyle w:val="VerbatimChar"/>
        </w:rPr>
        <w:t xml:space="preserve">   │ PRIMARY  │              │ STANDBY  │   │  coupée  │  ─────► │ PROMU    │</w:t>
      </w:r>
      <w:r>
        <w:br/>
      </w:r>
      <w:r>
        <w:rPr>
          <w:rStyle w:val="VerbatimChar"/>
        </w:rPr>
        <w:t xml:space="preserve">   └────┬─────┘              └────┬─────┘   └──────────┘         │ PRIMARY  │</w:t>
      </w:r>
      <w:r>
        <w:br/>
      </w:r>
      <w:r>
        <w:rPr>
          <w:rStyle w:val="VerbatimChar"/>
        </w:rPr>
        <w:t xml:space="preserve">        │ VIP → Salle A               │                              └────┬─────┘</w:t>
      </w:r>
      <w:r>
        <w:br/>
      </w:r>
      <w:r>
        <w:rPr>
          <w:rStyle w:val="VerbatimChar"/>
        </w:rPr>
        <w:t xml:space="preserve">        ▼                         ▼                VIP bascule → Salle B   ▼</w:t>
      </w:r>
      <w:r>
        <w:br/>
      </w:r>
      <w:r>
        <w:rPr>
          <w:rStyle w:val="VerbatimChar"/>
        </w:rPr>
        <w:t xml:space="preserve">   Utilisateurs ─► Salle A      (standby)              Utilisateurs ─────► Salle B</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Champ</w:t>
            </w:r>
          </w:p>
        </w:tc>
        <w:tc>
          <w:tcPr/>
          <w:p>
            <w:pPr>
              <w:pStyle w:val="Compact"/>
            </w:pPr>
            <w:r>
              <w:t xml:space="preserve">Valeur</w:t>
            </w:r>
          </w:p>
        </w:tc>
      </w:tr>
      <w:tr>
        <w:tc>
          <w:tcPr/>
          <w:p>
            <w:pPr>
              <w:pStyle w:val="Compact"/>
            </w:pPr>
            <w:r>
              <w:t xml:space="preserve">Objectif</w:t>
            </w:r>
          </w:p>
        </w:tc>
        <w:tc>
          <w:tcPr/>
          <w:p>
            <w:pPr>
              <w:pStyle w:val="Compact"/>
            </w:pPr>
            <w:r>
              <w:t xml:space="preserve">Valider la bascule complète Salle A → Salle B et mesurer RTO/RPO effectifs</w:t>
            </w:r>
          </w:p>
        </w:tc>
      </w:tr>
      <w:tr>
        <w:tc>
          <w:tcPr/>
          <w:p>
            <w:pPr>
              <w:pStyle w:val="Compact"/>
            </w:pPr>
            <w:r>
              <w:t xml:space="preserve">Prérequis</w:t>
            </w:r>
          </w:p>
        </w:tc>
        <w:tc>
          <w:tcPr/>
          <w:p>
            <w:pPr>
              <w:pStyle w:val="Compact"/>
            </w:pPr>
            <w:r>
              <w:t xml:space="preserve">Réplication PostgreSQL établie, synchro stockage active, procédure de bascule prête</w:t>
            </w:r>
          </w:p>
        </w:tc>
      </w:tr>
      <w:tr>
        <w:tc>
          <w:tcPr/>
          <w:p>
            <w:pPr>
              <w:pStyle w:val="Compact"/>
            </w:pPr>
            <w:r>
              <w:t xml:space="preserve">Étapes</w:t>
            </w:r>
          </w:p>
        </w:tc>
        <w:tc>
          <w:tcPr/>
          <w:p>
            <w:pPr>
              <w:pStyle w:val="Compact"/>
            </w:pPr>
            <w:r>
              <w:t xml:space="preserve">1. Noter l'horodatage T0. 2. Simuler la perte de Salle A (coupure). 3.</w:t>
            </w:r>
            <w:r>
              <w:t xml:space="preserve"> </w:t>
            </w:r>
            <w:r>
              <w:rPr>
                <w:b/>
                <w:bCs/>
              </w:rPr>
              <w:t xml:space="preserve">Promouvoir le standby PostgreSQL Salle B</w:t>
            </w:r>
            <w:r>
              <w:t xml:space="preserve"> </w:t>
            </w:r>
            <w:r>
              <w:t xml:space="preserve">en primaire. 4. Démarrer la stack Salle B en actif. 5.</w:t>
            </w:r>
            <w:r>
              <w:t xml:space="preserve"> </w:t>
            </w:r>
            <w:r>
              <w:rPr>
                <w:b/>
                <w:bCs/>
              </w:rPr>
              <w:t xml:space="preserve">Basculer la VIP/DNS</w:t>
            </w:r>
            <w:r>
              <w:t xml:space="preserve"> </w:t>
            </w:r>
            <w:r>
              <w:t xml:space="preserve">vers Salle B. 6. Rediriger le serveur GPU Salle B vers l'API Salle B. 7. Vérifier la santé (EXPL-03). 8. Noter T1 (service rétabli). 9. Contrôler la dernière transaction répliquée (RPO).</w:t>
            </w:r>
          </w:p>
        </w:tc>
      </w:tr>
      <w:tr>
        <w:tc>
          <w:tcPr/>
          <w:p>
            <w:pPr>
              <w:pStyle w:val="Compact"/>
            </w:pPr>
            <w:r>
              <w:t xml:space="preserve">Résultat attendu</w:t>
            </w:r>
          </w:p>
        </w:tc>
        <w:tc>
          <w:tcPr/>
          <w:p>
            <w:pPr>
              <w:pStyle w:val="Compact"/>
            </w:pPr>
            <w:r>
              <w:t xml:space="preserve">Service rétabli sur Salle B ;</w:t>
            </w:r>
            <w:r>
              <w:t xml:space="preserve"> </w:t>
            </w:r>
            <w:r>
              <w:rPr>
                <w:b/>
                <w:bCs/>
              </w:rPr>
              <w:t xml:space="preserve">RTO = T1−T0 ≤ 4 h</w:t>
            </w:r>
            <w:r>
              <w:t xml:space="preserve"> </w:t>
            </w:r>
            <w:r>
              <w:t xml:space="preserve">;</w:t>
            </w:r>
            <w:r>
              <w:t xml:space="preserve"> </w:t>
            </w:r>
            <w:r>
              <w:rPr>
                <w:b/>
                <w:bCs/>
              </w:rPr>
              <w:t xml:space="preserve">RPO ≤ 24 h</w:t>
            </w:r>
            <w:r>
              <w:t xml:space="preserve"> </w:t>
            </w:r>
            <w:r>
              <w:t xml:space="preserve">(mesurer et documenter le lag réel, cible ≤ 15 min) ; aucune donnée inaccessible au-delà du RPO</w:t>
            </w:r>
          </w:p>
        </w:tc>
      </w:tr>
      <w:tr>
        <w:tc>
          <w:tcPr/>
          <w:p>
            <w:pPr>
              <w:pStyle w:val="Compact"/>
            </w:pPr>
            <w:r>
              <w:t xml:space="preserve">Statut</w:t>
            </w:r>
          </w:p>
        </w:tc>
        <w:tc>
          <w:tcPr/>
          <w:p>
            <w:pPr>
              <w:pStyle w:val="Compact"/>
            </w:pPr>
          </w:p>
        </w:tc>
      </w:tr>
    </w:tbl>
    <w:bookmarkEnd w:id="150"/>
    <w:bookmarkStart w:id="151" w:name="X1e871408063e587df072559c7206be4451f5767"/>
    <w:p>
      <w:pPr>
        <w:pStyle w:val="Heading3"/>
      </w:pPr>
      <w:r>
        <w:t xml:space="preserve">7.4 T-BASCULE-04 — Retour arrière (Salle B → Salle 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Champ</w:t>
            </w:r>
          </w:p>
        </w:tc>
        <w:tc>
          <w:tcPr/>
          <w:p>
            <w:pPr>
              <w:pStyle w:val="Compact"/>
            </w:pPr>
            <w:r>
              <w:t xml:space="preserve">Valeur</w:t>
            </w:r>
          </w:p>
        </w:tc>
      </w:tr>
      <w:tr>
        <w:tc>
          <w:tcPr/>
          <w:p>
            <w:pPr>
              <w:pStyle w:val="Compact"/>
            </w:pPr>
            <w:r>
              <w:t xml:space="preserve">Objectif</w:t>
            </w:r>
          </w:p>
        </w:tc>
        <w:tc>
          <w:tcPr/>
          <w:p>
            <w:pPr>
              <w:pStyle w:val="Compact"/>
            </w:pPr>
            <w:r>
              <w:t xml:space="preserve">Valider le retour sur Salle A après réparation</w:t>
            </w:r>
          </w:p>
        </w:tc>
      </w:tr>
      <w:tr>
        <w:tc>
          <w:tcPr/>
          <w:p>
            <w:pPr>
              <w:pStyle w:val="Compact"/>
            </w:pPr>
            <w:r>
              <w:t xml:space="preserve">Prérequis</w:t>
            </w:r>
          </w:p>
        </w:tc>
        <w:tc>
          <w:tcPr/>
          <w:p>
            <w:pPr>
              <w:pStyle w:val="Compact"/>
            </w:pPr>
            <w:r>
              <w:t xml:space="preserve">Salle A réparé, T-BASCULE-03 réalisé</w:t>
            </w:r>
          </w:p>
        </w:tc>
      </w:tr>
      <w:tr>
        <w:tc>
          <w:tcPr/>
          <w:p>
            <w:pPr>
              <w:pStyle w:val="Compact"/>
            </w:pPr>
            <w:r>
              <w:t xml:space="preserve">Étapes</w:t>
            </w:r>
          </w:p>
        </w:tc>
        <w:tc>
          <w:tcPr/>
          <w:p>
            <w:pPr>
              <w:pStyle w:val="Compact"/>
            </w:pPr>
            <w:r>
              <w:t xml:space="preserve">1. Reconstruire Salle A. 2. Resynchroniser depuis Salle B (Salle A devient standby). 3. Fenêtre de maintenance. 4. Re-basculer VIP → Salle A. 5. Vérifier la santé.</w:t>
            </w:r>
          </w:p>
        </w:tc>
      </w:tr>
      <w:tr>
        <w:tc>
          <w:tcPr/>
          <w:p>
            <w:pPr>
              <w:pStyle w:val="Compact"/>
            </w:pPr>
            <w:r>
              <w:t xml:space="preserve">Résultat attendu</w:t>
            </w:r>
          </w:p>
        </w:tc>
        <w:tc>
          <w:tcPr/>
          <w:p>
            <w:pPr>
              <w:pStyle w:val="Compact"/>
            </w:pPr>
            <w:r>
              <w:t xml:space="preserve">Retour nominal sur Salle A, RPO nul (resynchronisation complète avant re-bascule)</w:t>
            </w:r>
          </w:p>
        </w:tc>
      </w:tr>
      <w:tr>
        <w:tc>
          <w:tcPr/>
          <w:p>
            <w:pPr>
              <w:pStyle w:val="Compact"/>
            </w:pPr>
            <w:r>
              <w:t xml:space="preserve">Statut</w:t>
            </w:r>
          </w:p>
        </w:tc>
        <w:tc>
          <w:tcPr/>
          <w:p>
            <w:pPr>
              <w:pStyle w:val="Compact"/>
            </w:pPr>
          </w:p>
        </w:tc>
      </w:tr>
    </w:tbl>
    <w:bookmarkEnd w:id="151"/>
    <w:bookmarkStart w:id="152" w:name="Xfdb76c846c81bf843a85ef816cc7a322016d01d"/>
    <w:p>
      <w:pPr>
        <w:pStyle w:val="Heading3"/>
      </w:pPr>
      <w:r>
        <w:t xml:space="preserve">7.5 T-BASCULE-05 — Restauration depuis sauvegarde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Champ</w:t>
            </w:r>
          </w:p>
        </w:tc>
        <w:tc>
          <w:tcPr/>
          <w:p>
            <w:pPr>
              <w:pStyle w:val="Compact"/>
            </w:pPr>
            <w:r>
              <w:t xml:space="preserve">Valeur</w:t>
            </w:r>
          </w:p>
        </w:tc>
      </w:tr>
      <w:tr>
        <w:tc>
          <w:tcPr/>
          <w:p>
            <w:pPr>
              <w:pStyle w:val="Compact"/>
            </w:pPr>
            <w:r>
              <w:t xml:space="preserve">Objectif</w:t>
            </w:r>
          </w:p>
        </w:tc>
        <w:tc>
          <w:tcPr/>
          <w:p>
            <w:pPr>
              <w:pStyle w:val="Compact"/>
            </w:pPr>
            <w:r>
              <w:t xml:space="preserve">Valider la restauration complète depuis une sauvegarde chiffrée</w:t>
            </w:r>
          </w:p>
        </w:tc>
      </w:tr>
      <w:tr>
        <w:tc>
          <w:tcPr/>
          <w:p>
            <w:pPr>
              <w:pStyle w:val="Compact"/>
            </w:pPr>
            <w:r>
              <w:t xml:space="preserve">Prérequis</w:t>
            </w:r>
          </w:p>
        </w:tc>
        <w:tc>
          <w:tcPr/>
          <w:p>
            <w:pPr>
              <w:pStyle w:val="Compact"/>
            </w:pPr>
            <w:r>
              <w:t xml:space="preserve">Sauvegarde chiffrée</w:t>
            </w:r>
            <w:r>
              <w:t xml:space="preserve"> </w:t>
            </w:r>
            <w:r>
              <w:rPr>
                <w:rStyle w:val="VerbatimChar"/>
              </w:rPr>
              <w:t xml:space="preserve">age</w:t>
            </w:r>
            <w:r>
              <w:t xml:space="preserve"> </w:t>
            </w:r>
            <w:r>
              <w:t xml:space="preserve">disponible, clé privée du Client</w:t>
            </w:r>
          </w:p>
        </w:tc>
      </w:tr>
      <w:tr>
        <w:tc>
          <w:tcPr/>
          <w:p>
            <w:pPr>
              <w:pStyle w:val="Compact"/>
            </w:pPr>
            <w:r>
              <w:t xml:space="preserve">Étapes</w:t>
            </w:r>
          </w:p>
        </w:tc>
        <w:tc>
          <w:tcPr/>
          <w:p>
            <w:pPr>
              <w:pStyle w:val="Compact"/>
            </w:pPr>
            <w:r>
              <w:t xml:space="preserve">1. Sur une plateforme de repli, déchiffrer la sauvegarde. 2. Snapshot de sécurité. 3. Restaurer. 4. Vérifier l'intégrité (EXPL-03).</w:t>
            </w:r>
          </w:p>
        </w:tc>
      </w:tr>
      <w:tr>
        <w:tc>
          <w:tcPr/>
          <w:p>
            <w:pPr>
              <w:pStyle w:val="Compact"/>
            </w:pPr>
            <w:r>
              <w:t xml:space="preserve">Résultat attendu</w:t>
            </w:r>
          </w:p>
        </w:tc>
        <w:tc>
          <w:tcPr/>
          <w:p>
            <w:pPr>
              <w:pStyle w:val="Compact"/>
            </w:pPr>
            <w:r>
              <w:t xml:space="preserve">Restauration réussie, données conformes à la dernière sauvegarde (RPO ≤ 24 h)</w:t>
            </w:r>
          </w:p>
        </w:tc>
      </w:tr>
      <w:tr>
        <w:tc>
          <w:tcPr/>
          <w:p>
            <w:pPr>
              <w:pStyle w:val="Compact"/>
            </w:pPr>
            <w:r>
              <w:t xml:space="preserve">Statut</w:t>
            </w:r>
          </w:p>
        </w:tc>
        <w:tc>
          <w:tcPr/>
          <w:p>
            <w:pPr>
              <w:pStyle w:val="Compact"/>
            </w:pPr>
          </w:p>
        </w:tc>
      </w:tr>
    </w:tbl>
    <w:bookmarkEnd w:id="152"/>
    <w:bookmarkStart w:id="153" w:name="X244a0c6fa184aa3091bdad7078bc054fd42afd5"/>
    <w:p>
      <w:pPr>
        <w:pStyle w:val="Heading3"/>
      </w:pPr>
      <w:r>
        <w:t xml:space="preserve">7.6 T-BASCULE-06 — Restauration granulaire d'une organisation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Champ</w:t>
            </w:r>
          </w:p>
        </w:tc>
        <w:tc>
          <w:tcPr/>
          <w:p>
            <w:pPr>
              <w:pStyle w:val="Compact"/>
            </w:pPr>
            <w:r>
              <w:t xml:space="preserve">Valeur</w:t>
            </w:r>
          </w:p>
        </w:tc>
      </w:tr>
      <w:tr>
        <w:tc>
          <w:tcPr/>
          <w:p>
            <w:pPr>
              <w:pStyle w:val="Compact"/>
            </w:pPr>
            <w:r>
              <w:t xml:space="preserve">Objectif</w:t>
            </w:r>
          </w:p>
        </w:tc>
        <w:tc>
          <w:tcPr/>
          <w:p>
            <w:pPr>
              <w:pStyle w:val="Compact"/>
            </w:pPr>
            <w:r>
              <w:t xml:space="preserve">Valider la restauration d'une seule organisation sans impacter les autres</w:t>
            </w:r>
          </w:p>
        </w:tc>
      </w:tr>
      <w:tr>
        <w:tc>
          <w:tcPr/>
          <w:p>
            <w:pPr>
              <w:pStyle w:val="Compact"/>
            </w:pPr>
            <w:r>
              <w:t xml:space="preserve">Prérequis</w:t>
            </w:r>
          </w:p>
        </w:tc>
        <w:tc>
          <w:tcPr/>
          <w:p>
            <w:pPr>
              <w:pStyle w:val="Compact"/>
            </w:pPr>
            <w:r>
              <w:t xml:space="preserve">Sauvegarde disponible, ORG-A et ORG-B en production</w:t>
            </w:r>
          </w:p>
        </w:tc>
      </w:tr>
      <w:tr>
        <w:tc>
          <w:tcPr/>
          <w:p>
            <w:pPr>
              <w:pStyle w:val="Compact"/>
            </w:pPr>
            <w:r>
              <w:t xml:space="preserve">Étapes</w:t>
            </w:r>
          </w:p>
        </w:tc>
        <w:tc>
          <w:tcPr/>
          <w:p>
            <w:pPr>
              <w:pStyle w:val="Compact"/>
            </w:pPr>
            <w:r>
              <w:t xml:space="preserve">1. Simuler une corruption sur ORG-A. 2. Snapshot de sécurité. 3. Restaurer</w:t>
            </w:r>
            <w:r>
              <w:t xml:space="preserve"> </w:t>
            </w:r>
            <w:r>
              <w:rPr>
                <w:b/>
                <w:bCs/>
              </w:rPr>
              <w:t xml:space="preserve">uniquement</w:t>
            </w:r>
            <w:r>
              <w:t xml:space="preserve"> </w:t>
            </w:r>
            <w:r>
              <w:t xml:space="preserve">le schéma d'ORG-A. 4. Vérifier ORG-A restaurée et ORG-B intacte.</w:t>
            </w:r>
          </w:p>
        </w:tc>
      </w:tr>
      <w:tr>
        <w:tc>
          <w:tcPr/>
          <w:p>
            <w:pPr>
              <w:pStyle w:val="Compact"/>
            </w:pPr>
            <w:r>
              <w:t xml:space="preserve">Résultat attendu</w:t>
            </w:r>
          </w:p>
        </w:tc>
        <w:tc>
          <w:tcPr/>
          <w:p>
            <w:pPr>
              <w:pStyle w:val="Compact"/>
            </w:pPr>
            <w:r>
              <w:t xml:space="preserve">ORG-A restaurée, ORG-B</w:t>
            </w:r>
            <w:r>
              <w:t xml:space="preserve"> </w:t>
            </w:r>
            <w:r>
              <w:rPr>
                <w:b/>
                <w:bCs/>
              </w:rPr>
              <w:t xml:space="preserve">non affectée</w:t>
            </w:r>
            <w:r>
              <w:t xml:space="preserve"> </w:t>
            </w:r>
            <w:r>
              <w:t xml:space="preserve">; périmètre limité respecté</w:t>
            </w:r>
          </w:p>
        </w:tc>
      </w:tr>
      <w:tr>
        <w:tc>
          <w:tcPr/>
          <w:p>
            <w:pPr>
              <w:pStyle w:val="Compact"/>
            </w:pPr>
            <w:r>
              <w:t xml:space="preserve">Statut</w:t>
            </w:r>
          </w:p>
        </w:tc>
        <w:tc>
          <w:tcPr/>
          <w:p>
            <w:pPr>
              <w:pStyle w:val="Compact"/>
            </w:pPr>
          </w:p>
        </w:tc>
      </w:tr>
    </w:tbl>
    <w:p>
      <w:r>
        <w:pict>
          <v:rect style="width:0;height:1.5pt" o:hralign="center" o:hrstd="t" o:hr="t"/>
        </w:pict>
      </w:r>
    </w:p>
    <w:bookmarkEnd w:id="153"/>
    <w:bookmarkEnd w:id="154"/>
    <w:bookmarkStart w:id="155" w:name="X4aabe432a4800a728af2af41b59b4b2265cb040"/>
    <w:p>
      <w:pPr>
        <w:pStyle w:val="Heading2"/>
      </w:pPr>
      <w:r>
        <w:t xml:space="preserve">8. Tests d'exploitation (T-EXPL)</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ID</w:t>
            </w:r>
          </w:p>
        </w:tc>
        <w:tc>
          <w:tcPr/>
          <w:p>
            <w:pPr>
              <w:pStyle w:val="Compact"/>
            </w:pPr>
            <w:r>
              <w:t xml:space="preserve">Objectif</w:t>
            </w:r>
          </w:p>
        </w:tc>
        <w:tc>
          <w:tcPr/>
          <w:p>
            <w:pPr>
              <w:pStyle w:val="Compact"/>
            </w:pPr>
            <w:r>
              <w:t xml:space="preserve">Prérequis</w:t>
            </w:r>
          </w:p>
        </w:tc>
        <w:tc>
          <w:tcPr/>
          <w:p>
            <w:pPr>
              <w:pStyle w:val="Compact"/>
            </w:pPr>
            <w:r>
              <w:t xml:space="preserve">Étapes</w:t>
            </w:r>
          </w:p>
        </w:tc>
        <w:tc>
          <w:tcPr/>
          <w:p>
            <w:pPr>
              <w:pStyle w:val="Compact"/>
            </w:pPr>
            <w:r>
              <w:t xml:space="preserve">Résultat attendu</w:t>
            </w:r>
          </w:p>
        </w:tc>
        <w:tc>
          <w:tcPr/>
          <w:p>
            <w:pPr>
              <w:pStyle w:val="Compact"/>
            </w:pPr>
            <w:r>
              <w:t xml:space="preserve">Statut</w:t>
            </w:r>
          </w:p>
        </w:tc>
      </w:tr>
      <w:tr>
        <w:tc>
          <w:tcPr/>
          <w:p>
            <w:pPr>
              <w:pStyle w:val="Compact"/>
            </w:pPr>
            <w:r>
              <w:t xml:space="preserve">T-EXPL-01</w:t>
            </w:r>
          </w:p>
        </w:tc>
        <w:tc>
          <w:tcPr/>
          <w:p>
            <w:pPr>
              <w:pStyle w:val="Compact"/>
            </w:pPr>
            <w:r>
              <w:t xml:space="preserve">Sauvegarde de configuration</w:t>
            </w:r>
          </w:p>
        </w:tc>
        <w:tc>
          <w:tcPr/>
          <w:p>
            <w:pPr>
              <w:pStyle w:val="Compact"/>
            </w:pPr>
            <w:r>
              <w:t xml:space="preserve">Stack en place</w:t>
            </w:r>
          </w:p>
        </w:tc>
        <w:tc>
          <w:tcPr/>
          <w:p>
            <w:pPr>
              <w:pStyle w:val="Compact"/>
            </w:pPr>
            <w:r>
              <w:t xml:space="preserve">1. Sauvegarder les fichiers de config chiffrés (EXPL-07). 2. Restaurer sur un environnement témoin.</w:t>
            </w:r>
          </w:p>
        </w:tc>
        <w:tc>
          <w:tcPr/>
          <w:p>
            <w:pPr>
              <w:pStyle w:val="Compact"/>
            </w:pPr>
            <w:r>
              <w:t xml:space="preserve">Configuration restaurée à l'identique</w:t>
            </w:r>
          </w:p>
        </w:tc>
        <w:tc>
          <w:tcPr/>
          <w:p>
            <w:pPr>
              <w:pStyle w:val="Compact"/>
            </w:pPr>
          </w:p>
        </w:tc>
      </w:tr>
      <w:tr>
        <w:tc>
          <w:tcPr/>
          <w:p>
            <w:pPr>
              <w:pStyle w:val="Compact"/>
            </w:pPr>
            <w:r>
              <w:t xml:space="preserve">T-EXPL-02</w:t>
            </w:r>
          </w:p>
        </w:tc>
        <w:tc>
          <w:tcPr/>
          <w:p>
            <w:pPr>
              <w:pStyle w:val="Compact"/>
            </w:pPr>
            <w:r>
              <w:t xml:space="preserve">Sauvegarde de données</w:t>
            </w:r>
          </w:p>
        </w:tc>
        <w:tc>
          <w:tcPr/>
          <w:p>
            <w:pPr>
              <w:pStyle w:val="Compact"/>
            </w:pPr>
            <w:r>
              <w:t xml:space="preserve">—</w:t>
            </w:r>
          </w:p>
        </w:tc>
        <w:tc>
          <w:tcPr/>
          <w:p>
            <w:pPr>
              <w:pStyle w:val="Compact"/>
            </w:pPr>
            <w:r>
              <w:t xml:space="preserve">1. Lancer la sauvegarde chiffrée (EXPL-08).</w:t>
            </w:r>
          </w:p>
        </w:tc>
        <w:tc>
          <w:tcPr/>
          <w:p>
            <w:pPr>
              <w:pStyle w:val="Compact"/>
            </w:pPr>
            <w:r>
              <w:t xml:space="preserve">Archive chiffrée</w:t>
            </w:r>
            <w:r>
              <w:t xml:space="preserve"> </w:t>
            </w:r>
            <w:r>
              <w:rPr>
                <w:rStyle w:val="VerbatimChar"/>
              </w:rPr>
              <w:t xml:space="preserve">age</w:t>
            </w:r>
            <w:r>
              <w:t xml:space="preserve"> </w:t>
            </w:r>
            <w:r>
              <w:t xml:space="preserve">produite, rétention conforme</w:t>
            </w:r>
          </w:p>
        </w:tc>
        <w:tc>
          <w:tcPr/>
          <w:p>
            <w:pPr>
              <w:pStyle w:val="Compact"/>
            </w:pPr>
          </w:p>
        </w:tc>
      </w:tr>
      <w:tr>
        <w:tc>
          <w:tcPr/>
          <w:p>
            <w:pPr>
              <w:pStyle w:val="Compact"/>
            </w:pPr>
            <w:r>
              <w:t xml:space="preserve">T-EXPL-03</w:t>
            </w:r>
          </w:p>
        </w:tc>
        <w:tc>
          <w:tcPr/>
          <w:p>
            <w:pPr>
              <w:pStyle w:val="Compact"/>
            </w:pPr>
            <w:r>
              <w:t xml:space="preserve">Mise à jour applicative</w:t>
            </w:r>
          </w:p>
        </w:tc>
        <w:tc>
          <w:tcPr/>
          <w:p>
            <w:pPr>
              <w:pStyle w:val="Compact"/>
            </w:pPr>
            <w:r>
              <w:t xml:space="preserve">Nouveau tag disponible</w:t>
            </w:r>
          </w:p>
        </w:tc>
        <w:tc>
          <w:tcPr/>
          <w:p>
            <w:pPr>
              <w:pStyle w:val="Compact"/>
            </w:pPr>
            <w:r>
              <w:t xml:space="preserve">1. Déployer la nouvelle version (EXPL-10), migrations, redémarrage app+nginx.</w:t>
            </w:r>
          </w:p>
        </w:tc>
        <w:tc>
          <w:tcPr/>
          <w:p>
            <w:pPr>
              <w:pStyle w:val="Compact"/>
            </w:pPr>
            <w:r>
              <w:t xml:space="preserve">Version déployée, santé OK, pas de 502</w:t>
            </w:r>
          </w:p>
        </w:tc>
        <w:tc>
          <w:tcPr/>
          <w:p>
            <w:pPr>
              <w:pStyle w:val="Compact"/>
            </w:pPr>
          </w:p>
        </w:tc>
      </w:tr>
      <w:tr>
        <w:tc>
          <w:tcPr/>
          <w:p>
            <w:pPr>
              <w:pStyle w:val="Compact"/>
            </w:pPr>
            <w:r>
              <w:t xml:space="preserve">T-EXPL-04</w:t>
            </w:r>
          </w:p>
        </w:tc>
        <w:tc>
          <w:tcPr/>
          <w:p>
            <w:pPr>
              <w:pStyle w:val="Compact"/>
            </w:pPr>
            <w:r>
              <w:t xml:space="preserve">Rollback</w:t>
            </w:r>
          </w:p>
        </w:tc>
        <w:tc>
          <w:tcPr/>
          <w:p>
            <w:pPr>
              <w:pStyle w:val="Compact"/>
            </w:pPr>
            <w:r>
              <w:t xml:space="preserve">T-EXPL-03</w:t>
            </w:r>
          </w:p>
        </w:tc>
        <w:tc>
          <w:tcPr/>
          <w:p>
            <w:pPr>
              <w:pStyle w:val="Compact"/>
            </w:pPr>
            <w:r>
              <w:t xml:space="preserve">1. Revenir au tag précédent.</w:t>
            </w:r>
          </w:p>
        </w:tc>
        <w:tc>
          <w:tcPr/>
          <w:p>
            <w:pPr>
              <w:pStyle w:val="Compact"/>
            </w:pPr>
            <w:r>
              <w:t xml:space="preserve">Version précédente rétablie, service opérationnel</w:t>
            </w:r>
          </w:p>
        </w:tc>
        <w:tc>
          <w:tcPr/>
          <w:p>
            <w:pPr>
              <w:pStyle w:val="Compact"/>
            </w:pPr>
          </w:p>
        </w:tc>
      </w:tr>
      <w:tr>
        <w:tc>
          <w:tcPr/>
          <w:p>
            <w:pPr>
              <w:pStyle w:val="Compact"/>
            </w:pPr>
            <w:r>
              <w:t xml:space="preserve">T-EXPL-05</w:t>
            </w:r>
          </w:p>
        </w:tc>
        <w:tc>
          <w:tcPr/>
          <w:p>
            <w:pPr>
              <w:pStyle w:val="Compact"/>
            </w:pPr>
            <w:r>
              <w:t xml:space="preserve">Supervision / alerte</w:t>
            </w:r>
          </w:p>
        </w:tc>
        <w:tc>
          <w:tcPr/>
          <w:p>
            <w:pPr>
              <w:pStyle w:val="Compact"/>
            </w:pPr>
            <w:r>
              <w:t xml:space="preserve">Supervision active</w:t>
            </w:r>
          </w:p>
        </w:tc>
        <w:tc>
          <w:tcPr/>
          <w:p>
            <w:pPr>
              <w:pStyle w:val="Compact"/>
            </w:pPr>
            <w:r>
              <w:t xml:space="preserve">1. Provoquer une condition d'alerte (ex. remplissage disque simulé).</w:t>
            </w:r>
          </w:p>
        </w:tc>
        <w:tc>
          <w:tcPr/>
          <w:p>
            <w:pPr>
              <w:pStyle w:val="Compact"/>
            </w:pPr>
            <w:r>
              <w:t xml:space="preserve">Alerte remontée sur le canal interne</w:t>
            </w:r>
          </w:p>
        </w:tc>
        <w:tc>
          <w:tcPr/>
          <w:p>
            <w:pPr>
              <w:pStyle w:val="Compact"/>
            </w:pPr>
          </w:p>
        </w:tc>
      </w:tr>
      <w:tr>
        <w:tc>
          <w:tcPr/>
          <w:p>
            <w:pPr>
              <w:pStyle w:val="Compact"/>
            </w:pPr>
            <w:r>
              <w:t xml:space="preserve">T-EXPL-06</w:t>
            </w:r>
          </w:p>
        </w:tc>
        <w:tc>
          <w:tcPr/>
          <w:p>
            <w:pPr>
              <w:pStyle w:val="Compact"/>
            </w:pPr>
            <w:r>
              <w:t xml:space="preserve">Signatures antivirus hors-ligne</w:t>
            </w:r>
          </w:p>
        </w:tc>
        <w:tc>
          <w:tcPr/>
          <w:p>
            <w:pPr>
              <w:pStyle w:val="Compact"/>
            </w:pPr>
            <w:r>
              <w:t xml:space="preserve">Variante isolée</w:t>
            </w:r>
          </w:p>
        </w:tc>
        <w:tc>
          <w:tcPr/>
          <w:p>
            <w:pPr>
              <w:pStyle w:val="Compact"/>
            </w:pPr>
            <w:r>
              <w:t xml:space="preserve">1. Réaliser la mise à jour freshclam hors-ligne (EXPL-13).</w:t>
            </w:r>
          </w:p>
        </w:tc>
        <w:tc>
          <w:tcPr/>
          <w:p>
            <w:pPr>
              <w:pStyle w:val="Compact"/>
            </w:pPr>
            <w:r>
              <w:t xml:space="preserve">Signatures mises à jour sans flux Internet</w:t>
            </w:r>
          </w:p>
        </w:tc>
        <w:tc>
          <w:tcPr/>
          <w:p>
            <w:pPr>
              <w:pStyle w:val="Compact"/>
            </w:pPr>
          </w:p>
        </w:tc>
      </w:tr>
      <w:tr>
        <w:tc>
          <w:tcPr/>
          <w:p>
            <w:pPr>
              <w:pStyle w:val="Compact"/>
            </w:pPr>
            <w:r>
              <w:t xml:space="preserve">T-EXPL-07</w:t>
            </w:r>
          </w:p>
        </w:tc>
        <w:tc>
          <w:tcPr/>
          <w:p>
            <w:pPr>
              <w:pStyle w:val="Compact"/>
            </w:pPr>
            <w:r>
              <w:t xml:space="preserve">Renouvellement certificat TLS</w:t>
            </w:r>
          </w:p>
        </w:tc>
        <w:tc>
          <w:tcPr/>
          <w:p>
            <w:pPr>
              <w:pStyle w:val="Compact"/>
            </w:pPr>
            <w:r>
              <w:t xml:space="preserve">PKI interne</w:t>
            </w:r>
          </w:p>
        </w:tc>
        <w:tc>
          <w:tcPr/>
          <w:p>
            <w:pPr>
              <w:pStyle w:val="Compact"/>
            </w:pPr>
            <w:r>
              <w:t xml:space="preserve">1. Renouveler le certificat (EXPL-11).</w:t>
            </w:r>
          </w:p>
        </w:tc>
        <w:tc>
          <w:tcPr/>
          <w:p>
            <w:pPr>
              <w:pStyle w:val="Compact"/>
            </w:pPr>
            <w:r>
              <w:t xml:space="preserve">Nouveau certificat en place, TLS valide</w:t>
            </w:r>
          </w:p>
        </w:tc>
        <w:tc>
          <w:tcPr/>
          <w:p>
            <w:pPr>
              <w:pStyle w:val="Compact"/>
            </w:pPr>
          </w:p>
        </w:tc>
      </w:tr>
    </w:tbl>
    <w:p>
      <w:r>
        <w:pict>
          <v:rect style="width:0;height:1.5pt" o:hralign="center" o:hrstd="t" o:hr="t"/>
        </w:pict>
      </w:r>
    </w:p>
    <w:bookmarkEnd w:id="155"/>
    <w:bookmarkStart w:id="156" w:name="Xeec25a331d1bbfb73ae244b8077f2a475c253f1"/>
    <w:p>
      <w:pPr>
        <w:pStyle w:val="Heading2"/>
      </w:pPr>
      <w:r>
        <w:t xml:space="preserve">9. Fiches d'anomalie</w:t>
      </w:r>
    </w:p>
    <w:p>
      <w:pPr>
        <w:pStyle w:val="FirstParagraph"/>
      </w:pPr>
      <w:r>
        <w:t xml:space="preserve">Toute non-conformité constatée est consignée :</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N°</w:t>
            </w:r>
          </w:p>
        </w:tc>
        <w:tc>
          <w:tcPr/>
          <w:p>
            <w:pPr>
              <w:pStyle w:val="Compact"/>
            </w:pPr>
            <w:r>
              <w:t xml:space="preserve">Test concerné</w:t>
            </w:r>
          </w:p>
        </w:tc>
        <w:tc>
          <w:tcPr/>
          <w:p>
            <w:pPr>
              <w:pStyle w:val="Compact"/>
            </w:pPr>
            <w:r>
              <w:t xml:space="preserve">Description</w:t>
            </w:r>
          </w:p>
        </w:tc>
        <w:tc>
          <w:tcPr/>
          <w:p>
            <w:pPr>
              <w:pStyle w:val="Compact"/>
            </w:pPr>
            <w:r>
              <w:t xml:space="preserve">Gravité</w:t>
            </w:r>
          </w:p>
        </w:tc>
        <w:tc>
          <w:tcPr/>
          <w:p>
            <w:pPr>
              <w:pStyle w:val="Compact"/>
            </w:pPr>
            <w:r>
              <w:t xml:space="preserve">Action corrective</w:t>
            </w:r>
          </w:p>
        </w:tc>
        <w:tc>
          <w:tcPr/>
          <w:p>
            <w:pPr>
              <w:pStyle w:val="Compact"/>
            </w:pPr>
            <w:r>
              <w:t xml:space="preserve">Responsable</w:t>
            </w:r>
          </w:p>
        </w:tc>
        <w:tc>
          <w:tcPr/>
          <w:p>
            <w:pPr>
              <w:pStyle w:val="Compact"/>
            </w:pPr>
            <w:r>
              <w:t xml:space="preserve">Statut</w:t>
            </w:r>
          </w:p>
        </w:tc>
      </w:tr>
      <w:tr>
        <w:tc>
          <w:tcPr/>
          <w:p>
            <w:pPr>
              <w:pStyle w:val="Compact"/>
            </w:pPr>
            <w:r>
              <w:rPr>
                <w:rStyle w:val="VerbatimChar"/>
              </w:rPr>
              <w:t xml:space="preserve">[…]</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rPr>
                <w:rStyle w:val="VerbatimChar"/>
              </w:rPr>
              <w:t xml:space="preserve">[…]</w:t>
            </w:r>
          </w:p>
        </w:tc>
        <w:tc>
          <w:tcPr/>
          <w:p>
            <w:pPr>
              <w:pStyle w:val="Compact"/>
            </w:pPr>
            <w:r>
              <w:rPr>
                <w:rStyle w:val="VerbatimChar"/>
              </w:rPr>
              <w:t xml:space="preserve">[…]</w:t>
            </w:r>
          </w:p>
        </w:tc>
      </w:tr>
    </w:tbl>
    <w:p>
      <w:r>
        <w:pict>
          <v:rect style="width:0;height:1.5pt" o:hralign="center" o:hrstd="t" o:hr="t"/>
        </w:pict>
      </w:r>
    </w:p>
    <w:bookmarkEnd w:id="156"/>
    <w:bookmarkStart w:id="157" w:name="X0a4229a342d90af78c8841a0f1788b55019567c"/>
    <w:p>
      <w:pPr>
        <w:pStyle w:val="Heading2"/>
      </w:pPr>
      <w:r>
        <w:t xml:space="preserve">10. Procès-verbal de recette</w:t>
      </w:r>
    </w:p>
    <w:p>
      <w:pPr>
        <w:pStyle w:val="FirstParagraph"/>
      </w:pPr>
      <w:r>
        <w:t xml:space="preserve">À l'issue des tests, le procès-verbal consigne le résultat global et les réserves éventuelles.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Rubrique</w:t>
            </w:r>
          </w:p>
        </w:tc>
        <w:tc>
          <w:tcPr/>
          <w:p>
            <w:pPr>
              <w:pStyle w:val="Compact"/>
            </w:pPr>
            <w:r>
              <w:t xml:space="preserve">Valeur</w:t>
            </w:r>
          </w:p>
        </w:tc>
      </w:tr>
      <w:tr>
        <w:tc>
          <w:tcPr/>
          <w:p>
            <w:pPr>
              <w:pStyle w:val="Compact"/>
            </w:pPr>
            <w:r>
              <w:t xml:space="preserve">Version recettée</w:t>
            </w:r>
          </w:p>
        </w:tc>
        <w:tc>
          <w:tcPr/>
          <w:p>
            <w:pPr>
              <w:pStyle w:val="Compact"/>
            </w:pPr>
            <w:r>
              <w:rPr>
                <w:rStyle w:val="VerbatimChar"/>
              </w:rPr>
              <w:t xml:space="preserve">[À RENSEIGNER]</w:t>
            </w:r>
          </w:p>
        </w:tc>
      </w:tr>
      <w:tr>
        <w:tc>
          <w:tcPr/>
          <w:p>
            <w:pPr>
              <w:pStyle w:val="Compact"/>
            </w:pPr>
            <w:r>
              <w:t xml:space="preserve">Date de recette</w:t>
            </w:r>
          </w:p>
        </w:tc>
        <w:tc>
          <w:tcPr/>
          <w:p>
            <w:pPr>
              <w:pStyle w:val="Compact"/>
            </w:pPr>
            <w:r>
              <w:rPr>
                <w:rStyle w:val="VerbatimChar"/>
              </w:rPr>
              <w:t xml:space="preserve">[À RENSEIGNER]</w:t>
            </w:r>
          </w:p>
        </w:tc>
      </w:tr>
      <w:tr>
        <w:tc>
          <w:tcPr/>
          <w:p>
            <w:pPr>
              <w:pStyle w:val="Compact"/>
            </w:pPr>
            <w:r>
              <w:t xml:space="preserve">Nombre de tests conformes</w:t>
            </w:r>
          </w:p>
        </w:tc>
        <w:tc>
          <w:tcPr/>
          <w:p>
            <w:pPr>
              <w:pStyle w:val="Compact"/>
            </w:pPr>
            <w:r>
              <w:rPr>
                <w:rStyle w:val="VerbatimChar"/>
              </w:rPr>
              <w:t xml:space="preserve">[…] / […]</w:t>
            </w:r>
          </w:p>
        </w:tc>
      </w:tr>
      <w:tr>
        <w:tc>
          <w:tcPr/>
          <w:p>
            <w:pPr>
              <w:pStyle w:val="Compact"/>
            </w:pPr>
            <w:r>
              <w:t xml:space="preserve">Réserves</w:t>
            </w:r>
          </w:p>
        </w:tc>
        <w:tc>
          <w:tcPr/>
          <w:p>
            <w:pPr>
              <w:pStyle w:val="Compact"/>
            </w:pPr>
            <w:r>
              <w:rPr>
                <w:rStyle w:val="VerbatimChar"/>
              </w:rPr>
              <w:t xml:space="preserve">[…]</w:t>
            </w:r>
          </w:p>
        </w:tc>
      </w:tr>
      <w:tr>
        <w:tc>
          <w:tcPr/>
          <w:p>
            <w:pPr>
              <w:pStyle w:val="Compact"/>
            </w:pPr>
            <w:r>
              <w:t xml:space="preserve">Décision</w:t>
            </w:r>
          </w:p>
        </w:tc>
        <w:tc>
          <w:tcPr/>
          <w:p>
            <w:pPr>
              <w:pStyle w:val="Compact"/>
            </w:pPr>
            <w:r>
              <w:t xml:space="preserve">Recette prononcée / prononcée avec réserves / ajournée</w:t>
            </w:r>
          </w:p>
        </w:tc>
      </w:tr>
    </w:tbl>
    <w:p>
      <w:pPr>
        <w:pStyle w:val="BodyText"/>
      </w:pPr>
      <w:r>
        <w:rPr>
          <w:b/>
          <w:bCs/>
        </w:rPr>
        <w:t xml:space="preserve">Signatures :</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Rôle</w:t>
            </w:r>
          </w:p>
        </w:tc>
        <w:tc>
          <w:tcPr/>
          <w:p>
            <w:pPr>
              <w:pStyle w:val="Compact"/>
            </w:pPr>
            <w:r>
              <w:t xml:space="preserve">Nom</w:t>
            </w:r>
          </w:p>
        </w:tc>
        <w:tc>
          <w:tcPr/>
          <w:p>
            <w:pPr>
              <w:pStyle w:val="Compact"/>
            </w:pPr>
            <w:r>
              <w:t xml:space="preserve">Organisation</w:t>
            </w:r>
          </w:p>
        </w:tc>
        <w:tc>
          <w:tcPr/>
          <w:p>
            <w:pPr>
              <w:pStyle w:val="Compact"/>
            </w:pPr>
            <w:r>
              <w:t xml:space="preserve">Date</w:t>
            </w:r>
          </w:p>
        </w:tc>
        <w:tc>
          <w:tcPr/>
          <w:p>
            <w:pPr>
              <w:pStyle w:val="Compact"/>
            </w:pPr>
            <w:r>
              <w:t xml:space="preserve">Signature</w:t>
            </w:r>
          </w:p>
        </w:tc>
      </w:tr>
      <w:tr>
        <w:tc>
          <w:tcPr/>
          <w:p>
            <w:pPr>
              <w:pStyle w:val="Compact"/>
            </w:pPr>
            <w:r>
              <w:t xml:space="preserve">Pour le Client (DSI)</w:t>
            </w:r>
          </w:p>
        </w:tc>
        <w:tc>
          <w:tcPr/>
          <w:p>
            <w:pPr>
              <w:pStyle w:val="Compact"/>
            </w:pPr>
            <w:r>
              <w:rPr>
                <w:rStyle w:val="VerbatimChar"/>
              </w:rPr>
              <w:t xml:space="preserve">[À RENSEIGNER]</w:t>
            </w:r>
          </w:p>
        </w:tc>
        <w:tc>
          <w:tcPr/>
          <w:p>
            <w:pPr>
              <w:pStyle w:val="Compact"/>
            </w:pPr>
            <w:r>
              <w:rPr>
                <w:rStyle w:val="VerbatimChar"/>
              </w:rPr>
              <w:t xml:space="preserve">[Client]</w:t>
            </w:r>
          </w:p>
        </w:tc>
        <w:tc>
          <w:tcPr/>
          <w:p>
            <w:pPr>
              <w:pStyle w:val="Compact"/>
            </w:pPr>
          </w:p>
        </w:tc>
        <w:tc>
          <w:tcPr/>
          <w:p>
            <w:pPr>
              <w:pStyle w:val="Compact"/>
            </w:pPr>
          </w:p>
        </w:tc>
      </w:tr>
      <w:tr>
        <w:tc>
          <w:tcPr/>
          <w:p>
            <w:pPr>
              <w:pStyle w:val="Compact"/>
            </w:pPr>
            <w:r>
              <w:t xml:space="preserve">Pour l'intégrateur</w:t>
            </w:r>
          </w:p>
        </w:tc>
        <w:tc>
          <w:tcPr/>
          <w:p>
            <w:pPr>
              <w:pStyle w:val="Compact"/>
            </w:pPr>
            <w:r>
              <w:rPr>
                <w:rStyle w:val="VerbatimChar"/>
              </w:rPr>
              <w:t xml:space="preserve">[À RENSEIGNER]</w:t>
            </w:r>
          </w:p>
        </w:tc>
        <w:tc>
          <w:tcPr/>
          <w:p>
            <w:pPr>
              <w:pStyle w:val="Compact"/>
            </w:pPr>
            <w:r>
              <w:t xml:space="preserve">Intégrateur du projet</w:t>
            </w:r>
          </w:p>
        </w:tc>
        <w:tc>
          <w:tcPr/>
          <w:p>
            <w:pPr>
              <w:pStyle w:val="Compact"/>
            </w:pPr>
          </w:p>
        </w:tc>
        <w:tc>
          <w:tcPr/>
          <w:p>
            <w:pPr>
              <w:pStyle w:val="Compact"/>
            </w:pPr>
          </w:p>
        </w:tc>
      </w:tr>
      <w:tr>
        <w:tc>
          <w:tcPr/>
          <w:p>
            <w:pPr>
              <w:pStyle w:val="Compact"/>
            </w:pPr>
            <w:r>
              <w:t xml:space="preserve">Pour l'éditeur / mainteneur</w:t>
            </w:r>
          </w:p>
        </w:tc>
        <w:tc>
          <w:tcPr/>
          <w:p>
            <w:pPr>
              <w:pStyle w:val="Compact"/>
            </w:pPr>
            <w:r>
              <w:t xml:space="preserve">Olivier Dupont (CTO)</w:t>
            </w:r>
          </w:p>
        </w:tc>
        <w:tc>
          <w:tcPr/>
          <w:p>
            <w:pPr>
              <w:pStyle w:val="Compact"/>
            </w:pPr>
            <w:r>
              <w:t xml:space="preserve">OHADJA</w:t>
            </w:r>
          </w:p>
        </w:tc>
        <w:tc>
          <w:tcPr/>
          <w:p>
            <w:pPr>
              <w:pStyle w:val="Compact"/>
            </w:pPr>
          </w:p>
        </w:tc>
        <w:tc>
          <w:tcPr/>
          <w:p>
            <w:pPr>
              <w:pStyle w:val="Compact"/>
            </w:pPr>
          </w:p>
        </w:tc>
      </w:tr>
    </w:tbl>
    <w:p>
      <w:r>
        <w:pict>
          <v:rect style="width:0;height:1.5pt" o:hralign="center" o:hrstd="t" o:hr="t"/>
        </w:pict>
      </w:r>
    </w:p>
    <w:p>
      <w:pPr>
        <w:pStyle w:val="FirstParagraph"/>
      </w:pPr>
      <w:r>
        <w:rPr>
          <w:i/>
          <w:iCs/>
        </w:rPr>
        <w:t xml:space="preserve">Document de travail établi par OHADJA (éditeur/mainteneur) — cahier de recette à exécuter conjointement avec la DSI du Client. Les valeurs cibles de performance et les seuils sont à figer sur la configuration retenue avant le prononcé de la recette.</w:t>
      </w:r>
    </w:p>
    <w:p>
      <w:r>
        <w:br w:type="page"/>
      </w:r>
    </w:p>
    <w:bookmarkEnd w:id="157"/>
    <w:bookmarkEnd w:id="158"/>
    <w:bookmarkStart w:id="182" w:name="X579196f840b6138eb90c49cf5fdc29a117e2879"/>
    <w:p>
      <w:pPr>
        <w:pStyle w:val="Heading1"/>
      </w:pPr>
      <w:r>
        <w:t xml:space="preserve">Plan d'Assurance Sécurité (PAS) — Déploiement on-premise de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Référence</w:t>
            </w:r>
          </w:p>
        </w:tc>
        <w:tc>
          <w:tcPr/>
          <w:p>
            <w:pPr>
              <w:pStyle w:val="Compact"/>
            </w:pPr>
            <w:r>
              <w:t xml:space="preserve">OHA-ONPREM-PAS-2026-001</w:t>
            </w:r>
          </w:p>
        </w:tc>
      </w:tr>
      <w:tr>
        <w:tc>
          <w:tcPr/>
          <w:p>
            <w:pPr>
              <w:pStyle w:val="Compact"/>
            </w:pPr>
            <w:r>
              <w:rPr>
                <w:b/>
                <w:bCs/>
              </w:rPr>
              <w:t xml:space="preserve">Version</w:t>
            </w:r>
          </w:p>
        </w:tc>
        <w:tc>
          <w:tcPr/>
          <w:p>
            <w:pPr>
              <w:pStyle w:val="Compact"/>
            </w:pPr>
            <w:r>
              <w:t xml:space="preserve">1.0</w:t>
            </w:r>
          </w:p>
        </w:tc>
      </w:tr>
      <w:tr>
        <w:tc>
          <w:tcPr/>
          <w:p>
            <w:pPr>
              <w:pStyle w:val="Compact"/>
            </w:pPr>
            <w:r>
              <w:rPr>
                <w:b/>
                <w:bCs/>
              </w:rPr>
              <w:t xml:space="preserve">Date</w:t>
            </w:r>
          </w:p>
        </w:tc>
        <w:tc>
          <w:tcPr/>
          <w:p>
            <w:pPr>
              <w:pStyle w:val="Compact"/>
            </w:pPr>
            <w:r>
              <w:t xml:space="preserve">2026-07-24</w:t>
            </w:r>
          </w:p>
        </w:tc>
      </w:tr>
      <w:tr>
        <w:tc>
          <w:tcPr/>
          <w:p>
            <w:pPr>
              <w:pStyle w:val="Compact"/>
            </w:pPr>
            <w:r>
              <w:rPr>
                <w:b/>
                <w:bCs/>
              </w:rPr>
              <w:t xml:space="preserve">Rédacteur / éditeur</w:t>
            </w:r>
          </w:p>
        </w:tc>
        <w:tc>
          <w:tcPr/>
          <w:p>
            <w:pPr>
              <w:pStyle w:val="Compact"/>
            </w:pPr>
            <w:r>
              <w:t xml:space="preserve">OHADJA — éditeur et mainteneur du logiciel TranscribIA — 60 rue François 1er, 75008 Paris</w:t>
            </w:r>
          </w:p>
        </w:tc>
      </w:tr>
      <w:tr>
        <w:tc>
          <w:tcPr/>
          <w:p>
            <w:pPr>
              <w:pStyle w:val="Compact"/>
            </w:pPr>
            <w:r>
              <w:rPr>
                <w:b/>
                <w:bCs/>
              </w:rPr>
              <w:t xml:space="preserve">Intégrateur / distributeur</w:t>
            </w:r>
          </w:p>
        </w:tc>
        <w:tc>
          <w:tcPr/>
          <w:p>
            <w:pPr>
              <w:pStyle w:val="Compact"/>
            </w:pPr>
            <w:r>
              <w:t xml:space="preserve">Votre intégrateur (à préciser selon le projet)</w:t>
            </w:r>
          </w:p>
        </w:tc>
      </w:tr>
      <w:tr>
        <w:tc>
          <w:tcPr/>
          <w:p>
            <w:pPr>
              <w:pStyle w:val="Compact"/>
            </w:pPr>
            <w:r>
              <w:rPr>
                <w:b/>
                <w:bCs/>
              </w:rPr>
              <w:t xml:space="preserve">Revendeur commercial</w:t>
            </w:r>
          </w:p>
        </w:tc>
        <w:tc>
          <w:tcPr/>
          <w:p>
            <w:pPr>
              <w:pStyle w:val="Compact"/>
            </w:pPr>
            <w:r>
              <w:t xml:space="preserve">AMBASSADIA SARL (Monaco et France) — rôle commercial uniquement, sans exploitation ni accès aux données de production</w:t>
            </w:r>
          </w:p>
        </w:tc>
      </w:tr>
      <w:tr>
        <w:tc>
          <w:tcPr/>
          <w:p>
            <w:pPr>
              <w:pStyle w:val="Compact"/>
            </w:pPr>
            <w:r>
              <w:rPr>
                <w:b/>
                <w:bCs/>
              </w:rPr>
              <w:t xml:space="preserve">Destinataire</w:t>
            </w:r>
          </w:p>
        </w:tc>
        <w:tc>
          <w:tcPr/>
          <w:p>
            <w:pPr>
              <w:pStyle w:val="Compact"/>
            </w:pPr>
            <w:r>
              <w:t xml:space="preserve">Client — Direction des Systèmes d'Information (à personnaliser lors du projet)</w:t>
            </w:r>
          </w:p>
        </w:tc>
      </w:tr>
      <w:tr>
        <w:tc>
          <w:tcPr/>
          <w:p>
            <w:pPr>
              <w:pStyle w:val="Compact"/>
            </w:pPr>
            <w:r>
              <w:rPr>
                <w:b/>
                <w:bCs/>
              </w:rPr>
              <w:t xml:space="preserve">Classification</w:t>
            </w:r>
          </w:p>
        </w:tc>
        <w:tc>
          <w:tcPr/>
          <w:p>
            <w:pPr>
              <w:pStyle w:val="Compact"/>
            </w:pPr>
            <w:r>
              <w:t xml:space="preserve">Public — document type, adapté lors de chaque projet d'implantation</w:t>
            </w:r>
          </w:p>
        </w:tc>
      </w:tr>
    </w:tbl>
    <w:p>
      <w:pPr>
        <w:pStyle w:val="BlockText"/>
      </w:pPr>
      <w:r>
        <w:t xml:space="preserve">Ce Plan d'Assurance Sécurité décrit l'organisation et les mesures de sécurité appliquées au projet de déploiement on-premise de TranscribIA pour le Client. Il s'articule avec le Dossier de Conception Détaillée, le Dossier d'Exploitation et le Cahier de Recette. Les engagements de délais et de niveaux de service sont marqués comme</w:t>
      </w:r>
      <w:r>
        <w:t xml:space="preserve"> </w:t>
      </w:r>
      <w:r>
        <w:rPr>
          <w:b/>
          <w:bCs/>
        </w:rPr>
        <w:t xml:space="preserve">propositions</w:t>
      </w:r>
      <w:r>
        <w:t xml:space="preserve"> </w:t>
      </w:r>
      <w:r>
        <w:t xml:space="preserve">à confirmer au contrat.</w:t>
      </w:r>
    </w:p>
    <w:p>
      <w:r>
        <w:pict>
          <v:rect style="width:0;height:1.5pt" o:hralign="center" o:hrstd="t" o:hr="t"/>
        </w:pict>
      </w:r>
    </w:p>
    <w:bookmarkStart w:id="161" w:name="Xcb8ef9ec9aa53e60fa6647a9e055eed7bb9b7c9"/>
    <w:p>
      <w:pPr>
        <w:pStyle w:val="Heading2"/>
      </w:pPr>
      <w:r>
        <w:t xml:space="preserve">1. Objet et périmètre</w:t>
      </w:r>
    </w:p>
    <w:bookmarkStart w:id="159" w:name="Xf4671889473d27fcb7b5710cf7ac2343be1d8a0"/>
    <w:p>
      <w:pPr>
        <w:pStyle w:val="Heading3"/>
      </w:pPr>
      <w:r>
        <w:t xml:space="preserve">1.1 Objet</w:t>
      </w:r>
    </w:p>
    <w:p>
      <w:pPr>
        <w:pStyle w:val="FirstParagraph"/>
      </w:pPr>
      <w:r>
        <w:t xml:space="preserve">Le présent PAS a pour objet de décrire les dispositions prises par OHADJA (éditeur et mainteneur du logiciel) et l'intégrateur du projet pour assurer la sécurité de la solution TranscribIA tout au long du projet : conception, livraison, exploitation, maintenance et réversibilité, dans le cadre d'un déploiement</w:t>
      </w:r>
      <w:r>
        <w:t xml:space="preserve"> </w:t>
      </w:r>
      <w:r>
        <w:rPr>
          <w:b/>
          <w:bCs/>
        </w:rPr>
        <w:t xml:space="preserve">on-premise isolé</w:t>
      </w:r>
      <w:r>
        <w:t xml:space="preserve"> </w:t>
      </w:r>
      <w:r>
        <w:t xml:space="preserve">sur les salles serveurs Salle A (actif) et Salle B (secours) du Client. AMBASSADIA SARL intervient exclusivement comme revendeur commercial (Monaco et France), sans rôle d'exploitation ni accès aux données de production.</w:t>
      </w:r>
    </w:p>
    <w:bookmarkEnd w:id="159"/>
    <w:bookmarkStart w:id="160" w:name="Xe6d48918a4ff7962161398c1ba7c9edfed7b67d"/>
    <w:p>
      <w:pPr>
        <w:pStyle w:val="Heading3"/>
      </w:pPr>
      <w:r>
        <w:t xml:space="preserve">1.2 Périmètre</w:t>
      </w:r>
    </w:p>
    <w:p>
      <w:pPr>
        <w:pStyle w:val="Compact"/>
        <w:numPr>
          <w:ilvl w:val="0"/>
          <w:numId w:val="1048"/>
        </w:numPr>
      </w:pPr>
      <w:r>
        <w:t xml:space="preserve">Sécurité de la solution logicielle TranscribIA et de sa chaîne de livraison.</w:t>
      </w:r>
    </w:p>
    <w:p>
      <w:pPr>
        <w:pStyle w:val="Compact"/>
        <w:numPr>
          <w:ilvl w:val="0"/>
          <w:numId w:val="1048"/>
        </w:numPr>
      </w:pPr>
      <w:r>
        <w:t xml:space="preserve">Mesures organisationnelles et techniques applicables au projet d'implantation.</w:t>
      </w:r>
    </w:p>
    <w:p>
      <w:pPr>
        <w:pStyle w:val="Compact"/>
        <w:numPr>
          <w:ilvl w:val="0"/>
          <w:numId w:val="1048"/>
        </w:numPr>
      </w:pPr>
      <w:r>
        <w:t xml:space="preserve">Gestion des vulnérabilités, des incidents et des accès prestataire.</w:t>
      </w:r>
    </w:p>
    <w:p>
      <w:pPr>
        <w:pStyle w:val="Compact"/>
        <w:numPr>
          <w:ilvl w:val="0"/>
          <w:numId w:val="1048"/>
        </w:numPr>
      </w:pPr>
      <w:r>
        <w:t xml:space="preserve">Réversibilité et engagements.</w:t>
      </w:r>
    </w:p>
    <w:p>
      <w:pPr>
        <w:pStyle w:val="FirstParagraph"/>
      </w:pPr>
      <w:r>
        <w:rPr>
          <w:b/>
          <w:bCs/>
        </w:rPr>
        <w:t xml:space="preserve">Hors périmètre :</w:t>
      </w:r>
      <w:r>
        <w:t xml:space="preserve"> </w:t>
      </w:r>
      <w:r>
        <w:t xml:space="preserve">la sécurité de l'infrastructure sous-jacente du Client (réseau, physique des salles, postes utilisateurs, PKI interne) relève du Client ; le PAS précise les responsabilités partagées. En mode on-premise,</w:t>
      </w:r>
      <w:r>
        <w:t xml:space="preserve"> </w:t>
      </w:r>
      <w:r>
        <w:rPr>
          <w:b/>
          <w:bCs/>
        </w:rPr>
        <w:t xml:space="preserve">la maîtrise opérationnelle des contrôles incombe au Client</w:t>
      </w:r>
      <w:r>
        <w:t xml:space="preserve">, l'éditeur fournissant la solution durcie, la documentation et le support.</w:t>
      </w:r>
    </w:p>
    <w:p>
      <w:r>
        <w:pict>
          <v:rect style="width:0;height:1.5pt" o:hralign="center" o:hrstd="t" o:hr="t"/>
        </w:pict>
      </w:r>
    </w:p>
    <w:bookmarkEnd w:id="160"/>
    <w:bookmarkEnd w:id="161"/>
    <w:bookmarkStart w:id="165" w:name="X8e7d9fbb1c3ec070b17fd666a0e23374a0f2289"/>
    <w:p>
      <w:pPr>
        <w:pStyle w:val="Heading2"/>
      </w:pPr>
      <w:r>
        <w:t xml:space="preserve">2. Organisation de la sécurité</w:t>
      </w:r>
    </w:p>
    <w:bookmarkStart w:id="162" w:name="X5d8c99d7a92bc9a8ddb942757b7d810e524cddd"/>
    <w:p>
      <w:pPr>
        <w:pStyle w:val="Heading3"/>
      </w:pPr>
      <w:r>
        <w:t xml:space="preserve">2.1 Rôles et responsabilités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Acteur</w:t>
            </w:r>
          </w:p>
        </w:tc>
        <w:tc>
          <w:tcPr/>
          <w:p>
            <w:pPr>
              <w:pStyle w:val="Compact"/>
            </w:pPr>
            <w:r>
              <w:t xml:space="preserve">Rôle sécurité</w:t>
            </w:r>
          </w:p>
        </w:tc>
      </w:tr>
      <w:tr>
        <w:tc>
          <w:tcPr/>
          <w:p>
            <w:pPr>
              <w:pStyle w:val="Compact"/>
            </w:pPr>
            <w:r>
              <w:rPr>
                <w:b/>
                <w:bCs/>
              </w:rPr>
              <w:t xml:space="preserve">OHADJA</w:t>
            </w:r>
            <w:r>
              <w:t xml:space="preserve"> </w:t>
            </w:r>
            <w:r>
              <w:t xml:space="preserve">(éditeur / mainteneur)</w:t>
            </w:r>
          </w:p>
        </w:tc>
        <w:tc>
          <w:tcPr/>
          <w:p>
            <w:pPr>
              <w:pStyle w:val="Compact"/>
            </w:pPr>
            <w:r>
              <w:t xml:space="preserve">Sécurité du logiciel (SDLC sécurisé, revues, correctifs), fourniture d'une solution durcie et documentée, support et maintenance, gestion des vulnérabilités produit, référentiel ISMS. Sous-traitant (art. 28 RGPD) le cas échéant</w:t>
            </w:r>
          </w:p>
        </w:tc>
      </w:tr>
      <w:tr>
        <w:tc>
          <w:tcPr/>
          <w:p>
            <w:pPr>
              <w:pStyle w:val="Compact"/>
            </w:pPr>
            <w:r>
              <w:rPr>
                <w:b/>
                <w:bCs/>
              </w:rPr>
              <w:t xml:space="preserve">Intégrateur du projet</w:t>
            </w:r>
            <w:r>
              <w:t xml:space="preserve"> </w:t>
            </w:r>
            <w:r>
              <w:t xml:space="preserve">(intégrateur / distributeur)</w:t>
            </w:r>
          </w:p>
        </w:tc>
        <w:tc>
          <w:tcPr/>
          <w:p>
            <w:pPr>
              <w:pStyle w:val="Compact"/>
            </w:pPr>
            <w:r>
              <w:t xml:space="preserve">Intégration, coordination de l'implantation, relation client de premier niveau ; n'accède</w:t>
            </w:r>
            <w:r>
              <w:t xml:space="preserve"> </w:t>
            </w:r>
            <w:r>
              <w:rPr>
                <w:b/>
                <w:bCs/>
              </w:rPr>
              <w:t xml:space="preserve">pas</w:t>
            </w:r>
            <w:r>
              <w:t xml:space="preserve"> </w:t>
            </w:r>
            <w:r>
              <w:t xml:space="preserve">aux données de production</w:t>
            </w:r>
          </w:p>
        </w:tc>
      </w:tr>
      <w:tr>
        <w:tc>
          <w:tcPr/>
          <w:p>
            <w:pPr>
              <w:pStyle w:val="Compact"/>
            </w:pPr>
            <w:r>
              <w:rPr>
                <w:b/>
                <w:bCs/>
              </w:rPr>
              <w:t xml:space="preserve">AMBASSADIA SARL</w:t>
            </w:r>
            <w:r>
              <w:t xml:space="preserve"> </w:t>
            </w:r>
            <w:r>
              <w:t xml:space="preserve">(revendeur commercial — Monaco et France)</w:t>
            </w:r>
          </w:p>
        </w:tc>
        <w:tc>
          <w:tcPr/>
          <w:p>
            <w:pPr>
              <w:pStyle w:val="Compact"/>
            </w:pPr>
            <w:r>
              <w:t xml:space="preserve">Rôle commercial uniquement : commercialisation, relation contractuelle amont.</w:t>
            </w:r>
            <w:r>
              <w:t xml:space="preserve"> </w:t>
            </w:r>
            <w:r>
              <w:rPr>
                <w:b/>
                <w:bCs/>
              </w:rPr>
              <w:t xml:space="preserve">Aucun rôle d'exploitation, aucun accès aux données de production</w:t>
            </w:r>
          </w:p>
        </w:tc>
      </w:tr>
      <w:tr>
        <w:tc>
          <w:tcPr/>
          <w:p>
            <w:pPr>
              <w:pStyle w:val="Compact"/>
            </w:pPr>
            <w:r>
              <w:rPr>
                <w:b/>
                <w:bCs/>
              </w:rPr>
              <w:t xml:space="preserve">Client</w:t>
            </w:r>
            <w:r>
              <w:t xml:space="preserve"> </w:t>
            </w:r>
            <w:r>
              <w:t xml:space="preserve">(client, responsable de traitement)</w:t>
            </w:r>
          </w:p>
        </w:tc>
        <w:tc>
          <w:tcPr/>
          <w:p>
            <w:pPr>
              <w:pStyle w:val="Compact"/>
            </w:pPr>
            <w:r>
              <w:t xml:space="preserve">Exploitation on-premise, sécurité de l'infrastructure (réseau, physique, PKI), gestion des comptes, application des procédures, décision d'accès prestataire</w:t>
            </w:r>
          </w:p>
        </w:tc>
      </w:tr>
    </w:tbl>
    <w:bookmarkEnd w:id="162"/>
    <w:bookmarkStart w:id="163" w:name="X3a750e171fd30dae0ade3105514c5398b325c23"/>
    <w:p>
      <w:pPr>
        <w:pStyle w:val="Heading3"/>
      </w:pPr>
      <w:r>
        <w:t xml:space="preserve">2.2 Référent sécurité</w:t>
      </w:r>
    </w:p>
    <w:p>
      <w:pPr>
        <w:pStyle w:val="Compact"/>
        <w:numPr>
          <w:ilvl w:val="0"/>
          <w:numId w:val="1049"/>
        </w:numPr>
      </w:pPr>
      <w:r>
        <w:rPr>
          <w:b/>
          <w:bCs/>
        </w:rPr>
        <w:t xml:space="preserve">Référent sécurité OHADJA (éditeur/mainteneur) :</w:t>
      </w:r>
      <w:r>
        <w:t xml:space="preserve"> </w:t>
      </w:r>
      <w:r>
        <w:t xml:space="preserve">Olivier Dupont (CTO, co-fondateur), également référent protection des données —</w:t>
      </w:r>
      <w:r>
        <w:t xml:space="preserve"> </w:t>
      </w:r>
      <w:r>
        <w:rPr>
          <w:rStyle w:val="VerbatimChar"/>
        </w:rPr>
        <w:t xml:space="preserve">privacy@transcribia.eu</w:t>
      </w:r>
      <w:r>
        <w:t xml:space="preserve">.</w:t>
      </w:r>
    </w:p>
    <w:p>
      <w:pPr>
        <w:pStyle w:val="Compact"/>
        <w:numPr>
          <w:ilvl w:val="0"/>
          <w:numId w:val="1049"/>
        </w:numPr>
      </w:pPr>
      <w:r>
        <w:rPr>
          <w:b/>
          <w:bCs/>
        </w:rPr>
        <w:t xml:space="preserve">Référent sécurité Client :</w:t>
      </w:r>
      <w:r>
        <w:t xml:space="preserve"> </w:t>
      </w:r>
      <w:r>
        <w:rPr>
          <w:rStyle w:val="VerbatimChar"/>
        </w:rPr>
        <w:t xml:space="preserve">[À RENSEIGNER : RSSI / correspondant sécurité DSI]</w:t>
      </w:r>
      <w:r>
        <w:t xml:space="preserve">.</w:t>
      </w:r>
    </w:p>
    <w:p>
      <w:pPr>
        <w:pStyle w:val="Compact"/>
        <w:numPr>
          <w:ilvl w:val="0"/>
          <w:numId w:val="1049"/>
        </w:numPr>
      </w:pPr>
      <w:r>
        <w:rPr>
          <w:b/>
          <w:bCs/>
        </w:rPr>
        <w:t xml:space="preserve">Interlocuteur intégrateur :</w:t>
      </w:r>
      <w:r>
        <w:t xml:space="preserve"> </w:t>
      </w:r>
      <w:r>
        <w:rPr>
          <w:rStyle w:val="VerbatimChar"/>
        </w:rPr>
        <w:t xml:space="preserve">[À RENSEIGNER : intégrateur du projet]</w:t>
      </w:r>
      <w:r>
        <w:t xml:space="preserve">.</w:t>
      </w:r>
    </w:p>
    <w:bookmarkEnd w:id="163"/>
    <w:bookmarkStart w:id="164" w:name="Xa748e33a4b189c0bd6879f3e4b06cee8352ed35"/>
    <w:p>
      <w:pPr>
        <w:pStyle w:val="Heading3"/>
      </w:pPr>
      <w:r>
        <w:t xml:space="preserve">2.3 Modèle de responsabilité (on-premise)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Domaine</w:t>
            </w:r>
          </w:p>
        </w:tc>
        <w:tc>
          <w:tcPr/>
          <w:p>
            <w:pPr>
              <w:pStyle w:val="Compact"/>
            </w:pPr>
            <w:r>
              <w:t xml:space="preserve">Éditeur</w:t>
            </w:r>
          </w:p>
        </w:tc>
        <w:tc>
          <w:tcPr/>
          <w:p>
            <w:pPr>
              <w:pStyle w:val="Compact"/>
            </w:pPr>
            <w:r>
              <w:t xml:space="preserve">Intégrateur</w:t>
            </w:r>
          </w:p>
        </w:tc>
        <w:tc>
          <w:tcPr/>
          <w:p>
            <w:pPr>
              <w:pStyle w:val="Compact"/>
            </w:pPr>
            <w:r>
              <w:t xml:space="preserve">Client</w:t>
            </w:r>
          </w:p>
        </w:tc>
      </w:tr>
      <w:tr>
        <w:tc>
          <w:tcPr/>
          <w:p>
            <w:pPr>
              <w:pStyle w:val="Compact"/>
            </w:pPr>
            <w:r>
              <w:t xml:space="preserve">Sécurité du code / SDLC</w:t>
            </w:r>
          </w:p>
        </w:tc>
        <w:tc>
          <w:tcPr/>
          <w:p>
            <w:pPr>
              <w:pStyle w:val="Compact"/>
            </w:pPr>
            <w:r>
              <w:t xml:space="preserve">✔</w:t>
            </w:r>
          </w:p>
        </w:tc>
        <w:tc>
          <w:tcPr/>
          <w:p>
            <w:pPr>
              <w:pStyle w:val="Compact"/>
            </w:pPr>
          </w:p>
        </w:tc>
        <w:tc>
          <w:tcPr/>
          <w:p>
            <w:pPr>
              <w:pStyle w:val="Compact"/>
            </w:pPr>
          </w:p>
        </w:tc>
      </w:tr>
      <w:tr>
        <w:tc>
          <w:tcPr/>
          <w:p>
            <w:pPr>
              <w:pStyle w:val="Compact"/>
            </w:pPr>
            <w:r>
              <w:t xml:space="preserve">Livraison intègre (versions taguées)</w:t>
            </w:r>
          </w:p>
        </w:tc>
        <w:tc>
          <w:tcPr/>
          <w:p>
            <w:pPr>
              <w:pStyle w:val="Compact"/>
            </w:pPr>
            <w:r>
              <w:t xml:space="preserve">✔</w:t>
            </w:r>
          </w:p>
        </w:tc>
        <w:tc>
          <w:tcPr/>
          <w:p>
            <w:pPr>
              <w:pStyle w:val="Compact"/>
            </w:pPr>
            <w:r>
              <w:t xml:space="preserve">✔ (mise en œuvre)</w:t>
            </w:r>
          </w:p>
        </w:tc>
        <w:tc>
          <w:tcPr/>
          <w:p>
            <w:pPr>
              <w:pStyle w:val="Compact"/>
            </w:pPr>
          </w:p>
        </w:tc>
      </w:tr>
      <w:tr>
        <w:tc>
          <w:tcPr/>
          <w:p>
            <w:pPr>
              <w:pStyle w:val="Compact"/>
            </w:pPr>
            <w:r>
              <w:t xml:space="preserve">Durcissement OS / Docker</w:t>
            </w:r>
          </w:p>
        </w:tc>
        <w:tc>
          <w:tcPr/>
          <w:p>
            <w:pPr>
              <w:pStyle w:val="Compact"/>
            </w:pPr>
            <w:r>
              <w:t xml:space="preserve">✔ (guide)</w:t>
            </w:r>
          </w:p>
        </w:tc>
        <w:tc>
          <w:tcPr/>
          <w:p>
            <w:pPr>
              <w:pStyle w:val="Compact"/>
            </w:pPr>
            <w:r>
              <w:t xml:space="preserve">✔ (mise en œuvre)</w:t>
            </w:r>
          </w:p>
        </w:tc>
        <w:tc>
          <w:tcPr/>
          <w:p>
            <w:pPr>
              <w:pStyle w:val="Compact"/>
            </w:pPr>
            <w:r>
              <w:t xml:space="preserve">✔ (exploitation)</w:t>
            </w:r>
          </w:p>
        </w:tc>
      </w:tr>
      <w:tr>
        <w:tc>
          <w:tcPr/>
          <w:p>
            <w:pPr>
              <w:pStyle w:val="Compact"/>
            </w:pPr>
            <w:r>
              <w:t xml:space="preserve">Réseau / segmentation / pare-feu</w:t>
            </w:r>
          </w:p>
        </w:tc>
        <w:tc>
          <w:tcPr/>
          <w:p>
            <w:pPr>
              <w:pStyle w:val="Compact"/>
            </w:pPr>
          </w:p>
        </w:tc>
        <w:tc>
          <w:tcPr/>
          <w:p>
            <w:pPr>
              <w:pStyle w:val="Compact"/>
            </w:pPr>
            <w:r>
              <w:t xml:space="preserve">(conseil)</w:t>
            </w:r>
          </w:p>
        </w:tc>
        <w:tc>
          <w:tcPr/>
          <w:p>
            <w:pPr>
              <w:pStyle w:val="Compact"/>
            </w:pPr>
            <w:r>
              <w:t xml:space="preserve">✔</w:t>
            </w:r>
          </w:p>
        </w:tc>
      </w:tr>
      <w:tr>
        <w:tc>
          <w:tcPr/>
          <w:p>
            <w:pPr>
              <w:pStyle w:val="Compact"/>
            </w:pPr>
            <w:r>
              <w:t xml:space="preserve">Sécurité physique des salles</w:t>
            </w:r>
          </w:p>
        </w:tc>
        <w:tc>
          <w:tcPr/>
          <w:p>
            <w:pPr>
              <w:pStyle w:val="Compact"/>
            </w:pPr>
          </w:p>
        </w:tc>
        <w:tc>
          <w:tcPr/>
          <w:p>
            <w:pPr>
              <w:pStyle w:val="Compact"/>
            </w:pPr>
          </w:p>
        </w:tc>
        <w:tc>
          <w:tcPr/>
          <w:p>
            <w:pPr>
              <w:pStyle w:val="Compact"/>
            </w:pPr>
            <w:r>
              <w:t xml:space="preserve">✔</w:t>
            </w:r>
          </w:p>
        </w:tc>
      </w:tr>
      <w:tr>
        <w:tc>
          <w:tcPr/>
          <w:p>
            <w:pPr>
              <w:pStyle w:val="Compact"/>
            </w:pPr>
            <w:r>
              <w:t xml:space="preserve">Gestion des comptes / RBAC / 2FA</w:t>
            </w:r>
          </w:p>
        </w:tc>
        <w:tc>
          <w:tcPr/>
          <w:p>
            <w:pPr>
              <w:pStyle w:val="Compact"/>
            </w:pPr>
            <w:r>
              <w:t xml:space="preserve">(fourni)</w:t>
            </w:r>
          </w:p>
        </w:tc>
        <w:tc>
          <w:tcPr/>
          <w:p>
            <w:pPr>
              <w:pStyle w:val="Compact"/>
            </w:pPr>
          </w:p>
        </w:tc>
        <w:tc>
          <w:tcPr/>
          <w:p>
            <w:pPr>
              <w:pStyle w:val="Compact"/>
            </w:pPr>
            <w:r>
              <w:t xml:space="preserve">✔ (administration)</w:t>
            </w:r>
          </w:p>
        </w:tc>
      </w:tr>
      <w:tr>
        <w:tc>
          <w:tcPr/>
          <w:p>
            <w:pPr>
              <w:pStyle w:val="Compact"/>
            </w:pPr>
            <w:r>
              <w:t xml:space="preserve">Sauvegardes / restauration</w:t>
            </w:r>
          </w:p>
        </w:tc>
        <w:tc>
          <w:tcPr/>
          <w:p>
            <w:pPr>
              <w:pStyle w:val="Compact"/>
            </w:pPr>
            <w:r>
              <w:t xml:space="preserve">(fourni)</w:t>
            </w:r>
          </w:p>
        </w:tc>
        <w:tc>
          <w:tcPr/>
          <w:p>
            <w:pPr>
              <w:pStyle w:val="Compact"/>
            </w:pPr>
            <w:r>
              <w:t xml:space="preserve">✔ (paramétrage)</w:t>
            </w:r>
          </w:p>
        </w:tc>
        <w:tc>
          <w:tcPr/>
          <w:p>
            <w:pPr>
              <w:pStyle w:val="Compact"/>
            </w:pPr>
            <w:r>
              <w:t xml:space="preserve">✔ (exécution, clés)</w:t>
            </w:r>
          </w:p>
        </w:tc>
      </w:tr>
      <w:tr>
        <w:tc>
          <w:tcPr/>
          <w:p>
            <w:pPr>
              <w:pStyle w:val="Compact"/>
            </w:pPr>
            <w:r>
              <w:t xml:space="preserve">Supervision / alertes</w:t>
            </w:r>
          </w:p>
        </w:tc>
        <w:tc>
          <w:tcPr/>
          <w:p>
            <w:pPr>
              <w:pStyle w:val="Compact"/>
            </w:pPr>
            <w:r>
              <w:t xml:space="preserve">(fourni)</w:t>
            </w:r>
          </w:p>
        </w:tc>
        <w:tc>
          <w:tcPr/>
          <w:p>
            <w:pPr>
              <w:pStyle w:val="Compact"/>
            </w:pPr>
            <w:r>
              <w:t xml:space="preserve">✔ (paramétrage)</w:t>
            </w:r>
          </w:p>
        </w:tc>
        <w:tc>
          <w:tcPr/>
          <w:p>
            <w:pPr>
              <w:pStyle w:val="Compact"/>
            </w:pPr>
            <w:r>
              <w:t xml:space="preserve">✔ (exploitation)</w:t>
            </w:r>
          </w:p>
        </w:tc>
      </w:tr>
      <w:tr>
        <w:tc>
          <w:tcPr/>
          <w:p>
            <w:pPr>
              <w:pStyle w:val="Compact"/>
            </w:pPr>
            <w:r>
              <w:t xml:space="preserve">Gestion des incidents</w:t>
            </w:r>
          </w:p>
        </w:tc>
        <w:tc>
          <w:tcPr/>
          <w:p>
            <w:pPr>
              <w:pStyle w:val="Compact"/>
            </w:pPr>
            <w:r>
              <w:t xml:space="preserve">(support)</w:t>
            </w:r>
          </w:p>
        </w:tc>
        <w:tc>
          <w:tcPr/>
          <w:p>
            <w:pPr>
              <w:pStyle w:val="Compact"/>
            </w:pPr>
          </w:p>
        </w:tc>
        <w:tc>
          <w:tcPr/>
          <w:p>
            <w:pPr>
              <w:pStyle w:val="Compact"/>
            </w:pPr>
            <w:r>
              <w:t xml:space="preserve">✔ (conduite)</w:t>
            </w:r>
          </w:p>
        </w:tc>
      </w:tr>
    </w:tbl>
    <w:p>
      <w:r>
        <w:pict>
          <v:rect style="width:0;height:1.5pt" o:hralign="center" o:hrstd="t" o:hr="t"/>
        </w:pict>
      </w:r>
    </w:p>
    <w:bookmarkEnd w:id="164"/>
    <w:bookmarkEnd w:id="165"/>
    <w:bookmarkStart w:id="166" w:name="Xba6a84f3674a4919d8d253edcb01a711029516a"/>
    <w:p>
      <w:pPr>
        <w:pStyle w:val="Heading2"/>
      </w:pPr>
      <w:r>
        <w:t xml:space="preserve">3. Référentiel documentaire de sécurité (ISMS)</w:t>
      </w:r>
    </w:p>
    <w:p>
      <w:pPr>
        <w:pStyle w:val="FirstParagraph"/>
      </w:pPr>
      <w:r>
        <w:t xml:space="preserve">OHADJA s'appuie sur un</w:t>
      </w:r>
      <w:r>
        <w:t xml:space="preserve"> </w:t>
      </w:r>
      <w:r>
        <w:rPr>
          <w:b/>
          <w:bCs/>
        </w:rPr>
        <w:t xml:space="preserve">socle de 16 politiques ISMS</w:t>
      </w:r>
      <w:r>
        <w:t xml:space="preserve"> </w:t>
      </w:r>
      <w:r>
        <w:t xml:space="preserve">formalisées (démarche structurée ISO/IEC 27001 engagée ;</w:t>
      </w:r>
      <w:r>
        <w:t xml:space="preserve"> </w:t>
      </w:r>
      <w:r>
        <w:rPr>
          <w:b/>
          <w:bCs/>
        </w:rPr>
        <w:t xml:space="preserve">aucune certification obtenue à ce jour</w:t>
      </w:r>
      <w:r>
        <w:t xml:space="preserve">, certification visée début 2027). Ces politiques sont</w:t>
      </w:r>
      <w:r>
        <w:t xml:space="preserve"> </w:t>
      </w:r>
      <w:r>
        <w:rPr>
          <w:b/>
          <w:bCs/>
        </w:rPr>
        <w:t xml:space="preserve">disponibles sur demande</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t>
            </w:r>
          </w:p>
        </w:tc>
        <w:tc>
          <w:tcPr/>
          <w:p>
            <w:pPr>
              <w:pStyle w:val="Compact"/>
            </w:pPr>
            <w:r>
              <w:t xml:space="preserve">Domaine de la politique</w:t>
            </w:r>
          </w:p>
        </w:tc>
      </w:tr>
      <w:tr>
        <w:tc>
          <w:tcPr/>
          <w:p>
            <w:pPr>
              <w:pStyle w:val="Compact"/>
            </w:pPr>
            <w:r>
              <w:t xml:space="preserve">1</w:t>
            </w:r>
          </w:p>
        </w:tc>
        <w:tc>
          <w:tcPr/>
          <w:p>
            <w:pPr>
              <w:pStyle w:val="Compact"/>
            </w:pPr>
            <w:r>
              <w:t xml:space="preserve">Sécurité de l'information (politique cadre)</w:t>
            </w:r>
          </w:p>
        </w:tc>
      </w:tr>
      <w:tr>
        <w:tc>
          <w:tcPr/>
          <w:p>
            <w:pPr>
              <w:pStyle w:val="Compact"/>
            </w:pPr>
            <w:r>
              <w:t xml:space="preserve">2</w:t>
            </w:r>
          </w:p>
        </w:tc>
        <w:tc>
          <w:tcPr/>
          <w:p>
            <w:pPr>
              <w:pStyle w:val="Compact"/>
            </w:pPr>
            <w:r>
              <w:t xml:space="preserve">Classification de l'information</w:t>
            </w:r>
          </w:p>
        </w:tc>
      </w:tr>
      <w:tr>
        <w:tc>
          <w:tcPr/>
          <w:p>
            <w:pPr>
              <w:pStyle w:val="Compact"/>
            </w:pPr>
            <w:r>
              <w:t xml:space="preserve">3</w:t>
            </w:r>
          </w:p>
        </w:tc>
        <w:tc>
          <w:tcPr/>
          <w:p>
            <w:pPr>
              <w:pStyle w:val="Compact"/>
            </w:pPr>
            <w:r>
              <w:t xml:space="preserve">Cryptographie</w:t>
            </w:r>
          </w:p>
        </w:tc>
      </w:tr>
      <w:tr>
        <w:tc>
          <w:tcPr/>
          <w:p>
            <w:pPr>
              <w:pStyle w:val="Compact"/>
            </w:pPr>
            <w:r>
              <w:t xml:space="preserve">4</w:t>
            </w:r>
          </w:p>
        </w:tc>
        <w:tc>
          <w:tcPr/>
          <w:p>
            <w:pPr>
              <w:pStyle w:val="Compact"/>
            </w:pPr>
            <w:r>
              <w:t xml:space="preserve">Contrôle d'accès</w:t>
            </w:r>
          </w:p>
        </w:tc>
      </w:tr>
      <w:tr>
        <w:tc>
          <w:tcPr/>
          <w:p>
            <w:pPr>
              <w:pStyle w:val="Compact"/>
            </w:pPr>
            <w:r>
              <w:t xml:space="preserve">5</w:t>
            </w:r>
          </w:p>
        </w:tc>
        <w:tc>
          <w:tcPr/>
          <w:p>
            <w:pPr>
              <w:pStyle w:val="Compact"/>
            </w:pPr>
            <w:r>
              <w:t xml:space="preserve">Mots de passe</w:t>
            </w:r>
          </w:p>
        </w:tc>
      </w:tr>
      <w:tr>
        <w:tc>
          <w:tcPr/>
          <w:p>
            <w:pPr>
              <w:pStyle w:val="Compact"/>
            </w:pPr>
            <w:r>
              <w:t xml:space="preserve">6</w:t>
            </w:r>
          </w:p>
        </w:tc>
        <w:tc>
          <w:tcPr/>
          <w:p>
            <w:pPr>
              <w:pStyle w:val="Compact"/>
            </w:pPr>
            <w:r>
              <w:t xml:space="preserve">Gestion des changements</w:t>
            </w:r>
          </w:p>
        </w:tc>
      </w:tr>
      <w:tr>
        <w:tc>
          <w:tcPr/>
          <w:p>
            <w:pPr>
              <w:pStyle w:val="Compact"/>
            </w:pPr>
            <w:r>
              <w:t xml:space="preserve">7</w:t>
            </w:r>
          </w:p>
        </w:tc>
        <w:tc>
          <w:tcPr/>
          <w:p>
            <w:pPr>
              <w:pStyle w:val="Compact"/>
            </w:pPr>
            <w:r>
              <w:t xml:space="preserve">Cycle de développement logiciel sécurisé (SDLC)</w:t>
            </w:r>
          </w:p>
        </w:tc>
      </w:tr>
      <w:tr>
        <w:tc>
          <w:tcPr/>
          <w:p>
            <w:pPr>
              <w:pStyle w:val="Compact"/>
            </w:pPr>
            <w:r>
              <w:t xml:space="preserve">8</w:t>
            </w:r>
          </w:p>
        </w:tc>
        <w:tc>
          <w:tcPr/>
          <w:p>
            <w:pPr>
              <w:pStyle w:val="Compact"/>
            </w:pPr>
            <w:r>
              <w:t xml:space="preserve">Sécurité physique</w:t>
            </w:r>
          </w:p>
        </w:tc>
      </w:tr>
      <w:tr>
        <w:tc>
          <w:tcPr/>
          <w:p>
            <w:pPr>
              <w:pStyle w:val="Compact"/>
            </w:pPr>
            <w:r>
              <w:t xml:space="preserve">9</w:t>
            </w:r>
          </w:p>
        </w:tc>
        <w:tc>
          <w:tcPr/>
          <w:p>
            <w:pPr>
              <w:pStyle w:val="Compact"/>
            </w:pPr>
            <w:r>
              <w:t xml:space="preserve">Réponse à incident</w:t>
            </w:r>
          </w:p>
        </w:tc>
      </w:tr>
      <w:tr>
        <w:tc>
          <w:tcPr/>
          <w:p>
            <w:pPr>
              <w:pStyle w:val="Compact"/>
            </w:pPr>
            <w:r>
              <w:t xml:space="preserve">10</w:t>
            </w:r>
          </w:p>
        </w:tc>
        <w:tc>
          <w:tcPr/>
          <w:p>
            <w:pPr>
              <w:pStyle w:val="Compact"/>
            </w:pPr>
            <w:r>
              <w:t xml:space="preserve">Sauvegarde</w:t>
            </w:r>
          </w:p>
        </w:tc>
      </w:tr>
      <w:tr>
        <w:tc>
          <w:tcPr/>
          <w:p>
            <w:pPr>
              <w:pStyle w:val="Compact"/>
            </w:pPr>
            <w:r>
              <w:t xml:space="preserve">11</w:t>
            </w:r>
          </w:p>
        </w:tc>
        <w:tc>
          <w:tcPr/>
          <w:p>
            <w:pPr>
              <w:pStyle w:val="Compact"/>
            </w:pPr>
            <w:r>
              <w:t xml:space="preserve">Plan de continuité / reprise d'activité (PCA/PRA)</w:t>
            </w:r>
          </w:p>
        </w:tc>
      </w:tr>
      <w:tr>
        <w:tc>
          <w:tcPr/>
          <w:p>
            <w:pPr>
              <w:pStyle w:val="Compact"/>
            </w:pPr>
            <w:r>
              <w:t xml:space="preserve">12</w:t>
            </w:r>
          </w:p>
        </w:tc>
        <w:tc>
          <w:tcPr/>
          <w:p>
            <w:pPr>
              <w:pStyle w:val="Compact"/>
            </w:pPr>
            <w:r>
              <w:t xml:space="preserve">Sécurité réseau</w:t>
            </w:r>
          </w:p>
        </w:tc>
      </w:tr>
      <w:tr>
        <w:tc>
          <w:tcPr/>
          <w:p>
            <w:pPr>
              <w:pStyle w:val="Compact"/>
            </w:pPr>
            <w:r>
              <w:t xml:space="preserve">13</w:t>
            </w:r>
          </w:p>
        </w:tc>
        <w:tc>
          <w:tcPr/>
          <w:p>
            <w:pPr>
              <w:pStyle w:val="Compact"/>
            </w:pPr>
            <w:r>
              <w:t xml:space="preserve">Protection des données</w:t>
            </w:r>
          </w:p>
        </w:tc>
      </w:tr>
      <w:tr>
        <w:tc>
          <w:tcPr/>
          <w:p>
            <w:pPr>
              <w:pStyle w:val="Compact"/>
            </w:pPr>
            <w:r>
              <w:t xml:space="preserve">14</w:t>
            </w:r>
          </w:p>
        </w:tc>
        <w:tc>
          <w:tcPr/>
          <w:p>
            <w:pPr>
              <w:pStyle w:val="Compact"/>
            </w:pPr>
            <w:r>
              <w:t xml:space="preserve">Éthique</w:t>
            </w:r>
          </w:p>
        </w:tc>
      </w:tr>
      <w:tr>
        <w:tc>
          <w:tcPr/>
          <w:p>
            <w:pPr>
              <w:pStyle w:val="Compact"/>
            </w:pPr>
            <w:r>
              <w:t xml:space="preserve">15</w:t>
            </w:r>
          </w:p>
        </w:tc>
        <w:tc>
          <w:tcPr/>
          <w:p>
            <w:pPr>
              <w:pStyle w:val="Compact"/>
            </w:pPr>
            <w:r>
              <w:t xml:space="preserve">Usage acceptable</w:t>
            </w:r>
          </w:p>
        </w:tc>
      </w:tr>
      <w:tr>
        <w:tc>
          <w:tcPr/>
          <w:p>
            <w:pPr>
              <w:pStyle w:val="Compact"/>
            </w:pPr>
            <w:r>
              <w:t xml:space="preserve">16</w:t>
            </w:r>
          </w:p>
        </w:tc>
        <w:tc>
          <w:tcPr/>
          <w:p>
            <w:pPr>
              <w:pStyle w:val="Compact"/>
            </w:pPr>
            <w:r>
              <w:t xml:space="preserve">Gestion des vulnérabilités et des correctifs</w:t>
            </w:r>
          </w:p>
        </w:tc>
      </w:tr>
    </w:tbl>
    <w:p>
      <w:pPr>
        <w:pStyle w:val="BlockText"/>
      </w:pPr>
      <w:r>
        <w:rPr>
          <w:b/>
          <w:bCs/>
        </w:rPr>
        <w:t xml:space="preserve">État réel des certifications</w:t>
      </w:r>
      <w:r>
        <w:t xml:space="preserve"> </w:t>
      </w:r>
      <w:r>
        <w:t xml:space="preserve">(à ne pas surinterpréter) : démarche ISO/IEC 27001 engagée (politiques ISMS formalisées), certification</w:t>
      </w:r>
      <w:r>
        <w:t xml:space="preserve"> </w:t>
      </w:r>
      <w:r>
        <w:rPr>
          <w:b/>
          <w:bCs/>
        </w:rPr>
        <w:t xml:space="preserve">visée début 2027</w:t>
      </w:r>
      <w:r>
        <w:t xml:space="preserve"> </w:t>
      </w:r>
      <w:r>
        <w:t xml:space="preserve">; audit SOC 2 Type I</w:t>
      </w:r>
      <w:r>
        <w:t xml:space="preserve"> </w:t>
      </w:r>
      <w:r>
        <w:rPr>
          <w:b/>
          <w:bCs/>
        </w:rPr>
        <w:t xml:space="preserve">planifié 2026</w:t>
      </w:r>
      <w:r>
        <w:t xml:space="preserve"> </w:t>
      </w:r>
      <w:r>
        <w:t xml:space="preserve">; HDS à l'étude (pertinent uniquement pour des données de santé) ; SecNumCloud en veille, non visé à court terme.</w:t>
      </w:r>
      <w:r>
        <w:t xml:space="preserve"> </w:t>
      </w:r>
      <w:r>
        <w:rPr>
          <w:b/>
          <w:bCs/>
        </w:rPr>
        <w:t xml:space="preserve">Aucune de ces certifications n'est obtenue à ce jour.</w:t>
      </w:r>
    </w:p>
    <w:p>
      <w:r>
        <w:pict>
          <v:rect style="width:0;height:1.5pt" o:hralign="center" o:hrstd="t" o:hr="t"/>
        </w:pict>
      </w:r>
    </w:p>
    <w:bookmarkEnd w:id="166"/>
    <w:bookmarkStart w:id="170" w:name="Xa488fc63592bb339d688ae67399a0048920466b"/>
    <w:p>
      <w:pPr>
        <w:pStyle w:val="Heading2"/>
      </w:pPr>
      <w:r>
        <w:t xml:space="preserve">4. Mesures de sécurité appliquées au projet</w:t>
      </w:r>
    </w:p>
    <w:p>
      <w:pPr>
        <w:pStyle w:val="FirstParagraph"/>
      </w:pPr>
      <w:r>
        <w:t xml:space="preserve">Les mesures sont organisées selon les trois phases (les mesures techniques d'organisation — MTO) : développement, livraison, exploitation.</w:t>
      </w:r>
    </w:p>
    <w:bookmarkStart w:id="167" w:name="Xf630a794f53503a0eefb2ba285f2a6cf8e0b222"/>
    <w:p>
      <w:pPr>
        <w:pStyle w:val="Heading3"/>
      </w:pPr>
      <w:r>
        <w:t xml:space="preserve">4.1 Développement (SDLC sécurisé)</w:t>
      </w:r>
    </w:p>
    <w:p>
      <w:pPr>
        <w:pStyle w:val="Compact"/>
        <w:numPr>
          <w:ilvl w:val="0"/>
          <w:numId w:val="1050"/>
        </w:numPr>
      </w:pPr>
      <w:r>
        <w:rPr>
          <w:b/>
          <w:bCs/>
        </w:rPr>
        <w:t xml:space="preserve">Revues de sécurité systématiques avant chaque release</w:t>
      </w:r>
      <w:r>
        <w:t xml:space="preserve">, incluant des</w:t>
      </w:r>
      <w:r>
        <w:t xml:space="preserve"> </w:t>
      </w:r>
      <w:r>
        <w:rPr>
          <w:b/>
          <w:bCs/>
        </w:rPr>
        <w:t xml:space="preserve">revues adversariales</w:t>
      </w:r>
      <w:r>
        <w:t xml:space="preserve"> </w:t>
      </w:r>
      <w:r>
        <w:t xml:space="preserve">(recherche active de contournements, d'injections, de fuites inter-tenant).</w:t>
      </w:r>
    </w:p>
    <w:p>
      <w:pPr>
        <w:pStyle w:val="Compact"/>
        <w:numPr>
          <w:ilvl w:val="0"/>
          <w:numId w:val="1050"/>
        </w:numPr>
      </w:pPr>
      <w:r>
        <w:rPr>
          <w:b/>
          <w:bCs/>
        </w:rPr>
        <w:t xml:space="preserve">Tests automatisés</w:t>
      </w:r>
      <w:r>
        <w:t xml:space="preserve"> </w:t>
      </w:r>
      <w:r>
        <w:t xml:space="preserve">(fonctionnels et sécurité) exécutés avant livraison.</w:t>
      </w:r>
    </w:p>
    <w:p>
      <w:pPr>
        <w:pStyle w:val="Compact"/>
        <w:numPr>
          <w:ilvl w:val="0"/>
          <w:numId w:val="1050"/>
        </w:numPr>
      </w:pPr>
      <w:r>
        <w:t xml:space="preserve">Gestion des dépendances et veille sur les vulnérabilités des composants.</w:t>
      </w:r>
    </w:p>
    <w:p>
      <w:pPr>
        <w:pStyle w:val="Compact"/>
        <w:numPr>
          <w:ilvl w:val="0"/>
          <w:numId w:val="1050"/>
        </w:numPr>
      </w:pPr>
      <w:r>
        <w:t xml:space="preserve">Mesures applicatives natives : isolation multi-tenant par schéma PostgreSQL, RBAC 5 niveaux, 2FA TOTP, step-up password, jetons Sanctum hashés SHA-256, bcrypt cost 12, CSP + CORS strict, rate limiting, garde anti-SSRF sur les endpoints LLM d'organisation, antivirus ClamAV sur les uploads, URLs signées temporaires pour le streaming.</w:t>
      </w:r>
    </w:p>
    <w:bookmarkEnd w:id="167"/>
    <w:bookmarkStart w:id="168" w:name="Xa3ea6fda29feea4d6d444014d880f48b07b16ab"/>
    <w:p>
      <w:pPr>
        <w:pStyle w:val="Heading3"/>
      </w:pPr>
      <w:r>
        <w:t xml:space="preserve">4.2 Livraison</w:t>
      </w:r>
    </w:p>
    <w:p>
      <w:pPr>
        <w:pStyle w:val="Compact"/>
        <w:numPr>
          <w:ilvl w:val="0"/>
          <w:numId w:val="1051"/>
        </w:numPr>
      </w:pPr>
      <w:r>
        <w:rPr>
          <w:b/>
          <w:bCs/>
        </w:rPr>
        <w:t xml:space="preserve">Déploiement uniquement par version taguée</w:t>
      </w:r>
      <w:r>
        <w:t xml:space="preserve"> </w:t>
      </w:r>
      <w:r>
        <w:t xml:space="preserve">(traçabilité et reproductibilité) ; pas de livraison depuis une branche mouvante.</w:t>
      </w:r>
    </w:p>
    <w:p>
      <w:pPr>
        <w:pStyle w:val="Compact"/>
        <w:numPr>
          <w:ilvl w:val="0"/>
          <w:numId w:val="1051"/>
        </w:numPr>
      </w:pPr>
      <w:r>
        <w:rPr>
          <w:b/>
          <w:bCs/>
        </w:rPr>
        <w:t xml:space="preserve">Intégrité</w:t>
      </w:r>
      <w:r>
        <w:t xml:space="preserve"> </w:t>
      </w:r>
      <w:r>
        <w:t xml:space="preserve">: contrôle des artefacts livrés ; en variante isolée, approvisionnement par</w:t>
      </w:r>
      <w:r>
        <w:t xml:space="preserve"> </w:t>
      </w:r>
      <w:r>
        <w:rPr>
          <w:b/>
          <w:bCs/>
        </w:rPr>
        <w:t xml:space="preserve">dépôt / registre interne</w:t>
      </w:r>
      <w:r>
        <w:t xml:space="preserve"> </w:t>
      </w:r>
      <w:r>
        <w:t xml:space="preserve">maîtrisé (voir DCD §11.5).</w:t>
      </w:r>
    </w:p>
    <w:p>
      <w:pPr>
        <w:pStyle w:val="Compact"/>
        <w:numPr>
          <w:ilvl w:val="0"/>
          <w:numId w:val="1051"/>
        </w:numPr>
      </w:pPr>
      <w:r>
        <w:t xml:space="preserve">Documentation de déploiement, d'exploitation et de recette fournie.</w:t>
      </w:r>
    </w:p>
    <w:bookmarkEnd w:id="168"/>
    <w:bookmarkStart w:id="169" w:name="Xd6a49a1c24f37624d0a610812e1f09a39e1a269"/>
    <w:p>
      <w:pPr>
        <w:pStyle w:val="Heading3"/>
      </w:pPr>
      <w:r>
        <w:t xml:space="preserve">4.3 Exploitation</w:t>
      </w:r>
    </w:p>
    <w:p>
      <w:pPr>
        <w:pStyle w:val="Compact"/>
        <w:numPr>
          <w:ilvl w:val="0"/>
          <w:numId w:val="1052"/>
        </w:numPr>
      </w:pPr>
      <w:r>
        <w:rPr>
          <w:b/>
          <w:bCs/>
        </w:rPr>
        <w:t xml:space="preserve">Durcissement</w:t>
      </w:r>
      <w:r>
        <w:t xml:space="preserve"> </w:t>
      </w:r>
      <w:r>
        <w:t xml:space="preserve">OS (SSH par clé, pare-feu hôte deny-by-default, fail2ban) et Docker (</w:t>
      </w:r>
      <w:r>
        <w:rPr>
          <w:rStyle w:val="VerbatimChar"/>
        </w:rPr>
        <w:t xml:space="preserve">no-new-privileges</w:t>
      </w:r>
      <w:r>
        <w:t xml:space="preserve">,</w:t>
      </w:r>
      <w:r>
        <w:t xml:space="preserve"> </w:t>
      </w:r>
      <w:r>
        <w:rPr>
          <w:rStyle w:val="VerbatimChar"/>
        </w:rPr>
        <w:t xml:space="preserve">cap_drop: ALL</w:t>
      </w:r>
      <w:r>
        <w:t xml:space="preserve">, ports non publiés hormis le point d'entrée, PostgreSQL/Redis liés à la boucle locale).</w:t>
      </w:r>
    </w:p>
    <w:p>
      <w:pPr>
        <w:pStyle w:val="Compact"/>
        <w:numPr>
          <w:ilvl w:val="0"/>
          <w:numId w:val="1052"/>
        </w:numPr>
      </w:pPr>
      <w:r>
        <w:rPr>
          <w:b/>
          <w:bCs/>
        </w:rPr>
        <w:t xml:space="preserve">Moindre privilège</w:t>
      </w:r>
      <w:r>
        <w:t xml:space="preserve"> </w:t>
      </w:r>
      <w:r>
        <w:t xml:space="preserve">: comptes de service dédiés (réplication, synchro, GPU), comptes utilisateurs nominatifs, RBAC.</w:t>
      </w:r>
    </w:p>
    <w:p>
      <w:pPr>
        <w:pStyle w:val="Compact"/>
        <w:numPr>
          <w:ilvl w:val="0"/>
          <w:numId w:val="1052"/>
        </w:numPr>
      </w:pPr>
      <w:r>
        <w:rPr>
          <w:b/>
          <w:bCs/>
        </w:rPr>
        <w:t xml:space="preserve">Journalisation</w:t>
      </w:r>
      <w:r>
        <w:t xml:space="preserve"> </w:t>
      </w:r>
      <w:r>
        <w:t xml:space="preserve">: audit trail par organisation et plateforme, exportable CSV/JSON ; journaux techniques en rotation.</w:t>
      </w:r>
    </w:p>
    <w:p>
      <w:pPr>
        <w:pStyle w:val="Compact"/>
        <w:numPr>
          <w:ilvl w:val="0"/>
          <w:numId w:val="1052"/>
        </w:numPr>
      </w:pPr>
      <w:r>
        <w:rPr>
          <w:b/>
          <w:bCs/>
        </w:rPr>
        <w:t xml:space="preserve">Chiffrement</w:t>
      </w:r>
      <w:r>
        <w:t xml:space="preserve"> </w:t>
      </w:r>
      <w:r>
        <w:t xml:space="preserve">: TLS ≥ 1.2 en transit, secrets 2FA en AES-256-CBC, sauvegardes systématiquement chiffrées</w:t>
      </w:r>
      <w:r>
        <w:t xml:space="preserve"> </w:t>
      </w:r>
      <w:r>
        <w:rPr>
          <w:rStyle w:val="VerbatimChar"/>
        </w:rPr>
        <w:t xml:space="preserve">age</w:t>
      </w:r>
      <w:r>
        <w:t xml:space="preserve"> </w:t>
      </w:r>
      <w:r>
        <w:t xml:space="preserve">avant externalisation ; chiffrement du disque système au repos :</w:t>
      </w:r>
      <w:r>
        <w:t xml:space="preserve"> </w:t>
      </w:r>
      <w:r>
        <w:rPr>
          <w:b/>
          <w:bCs/>
        </w:rPr>
        <w:t xml:space="preserve">recommandation d'implantation</w:t>
      </w:r>
      <w:r>
        <w:t xml:space="preserve"> </w:t>
      </w:r>
      <w:r>
        <w:t xml:space="preserve">adressée au Client sur son infrastructure (LUKS/FDE, selon ses standards).</w:t>
      </w:r>
    </w:p>
    <w:p>
      <w:pPr>
        <w:pStyle w:val="Compact"/>
        <w:numPr>
          <w:ilvl w:val="0"/>
          <w:numId w:val="1052"/>
        </w:numPr>
      </w:pPr>
      <w:r>
        <w:rPr>
          <w:b/>
          <w:bCs/>
        </w:rPr>
        <w:t xml:space="preserve">Sauvegardes et continuité</w:t>
      </w:r>
      <w:r>
        <w:t xml:space="preserve"> </w:t>
      </w:r>
      <w:r>
        <w:t xml:space="preserve">: quotidiennes chiffrées, rétention 90 j / 30 j par organisation, snapshot anti-écrasement avant restauration, architecture actif/secours (Salle A / Salle B), objectifs RTO ≤ 4 h et RPO ≤ 24 h (cible ≤ 15 min).</w:t>
      </w:r>
    </w:p>
    <w:p>
      <w:r>
        <w:pict>
          <v:rect style="width:0;height:1.5pt" o:hralign="center" o:hrstd="t" o:hr="t"/>
        </w:pict>
      </w:r>
    </w:p>
    <w:bookmarkEnd w:id="169"/>
    <w:bookmarkEnd w:id="170"/>
    <w:bookmarkStart w:id="173" w:name="X5866973c2913170c5476a6a6b717f743058e2e3"/>
    <w:p>
      <w:pPr>
        <w:pStyle w:val="Heading2"/>
      </w:pPr>
      <w:r>
        <w:t xml:space="preserve">5. Gestion des vulnérabilités et des correctifs</w:t>
      </w:r>
    </w:p>
    <w:bookmarkStart w:id="171" w:name="Xbae35f53070c0f7f2c31495597f8a73704e6cf1"/>
    <w:p>
      <w:pPr>
        <w:pStyle w:val="Heading3"/>
      </w:pPr>
      <w:r>
        <w:t xml:space="preserve">5.1 Processus</w:t>
      </w:r>
    </w:p>
    <w:p>
      <w:pPr>
        <w:pStyle w:val="Compact"/>
        <w:numPr>
          <w:ilvl w:val="0"/>
          <w:numId w:val="1053"/>
        </w:numPr>
      </w:pPr>
      <w:r>
        <w:t xml:space="preserve">Veille continue sur les vulnérabilités (composants applicatifs et dépendances).</w:t>
      </w:r>
    </w:p>
    <w:p>
      <w:pPr>
        <w:pStyle w:val="Compact"/>
        <w:numPr>
          <w:ilvl w:val="0"/>
          <w:numId w:val="1053"/>
        </w:numPr>
      </w:pPr>
      <w:r>
        <w:rPr>
          <w:b/>
          <w:bCs/>
        </w:rPr>
        <w:t xml:space="preserve">Priorisation par criticité</w:t>
      </w:r>
      <w:r>
        <w:t xml:space="preserve"> </w:t>
      </w:r>
      <w:r>
        <w:t xml:space="preserve">(CVSS et exploitabilité dans le contexte on-premise isolé).</w:t>
      </w:r>
    </w:p>
    <w:p>
      <w:pPr>
        <w:pStyle w:val="Compact"/>
        <w:numPr>
          <w:ilvl w:val="0"/>
          <w:numId w:val="1053"/>
        </w:numPr>
      </w:pPr>
      <w:r>
        <w:t xml:space="preserve">Correctifs livrés par version taguée ; en environnement isolé, application selon la procédure de mise à jour hors-ligne (DCD §11.5, EXPL-10/EXPL-13).</w:t>
      </w:r>
    </w:p>
    <w:bookmarkEnd w:id="171"/>
    <w:bookmarkStart w:id="172" w:name="Xdb6f60ddeed78849197dc81f10f7c0f788fb17e"/>
    <w:p>
      <w:pPr>
        <w:pStyle w:val="Heading3"/>
      </w:pPr>
      <w:r>
        <w:t xml:space="preserve">5.2 Délais de correction (indicatifs — proposition)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Criticité</w:t>
            </w:r>
          </w:p>
        </w:tc>
        <w:tc>
          <w:tcPr/>
          <w:p>
            <w:pPr>
              <w:pStyle w:val="Compact"/>
            </w:pPr>
            <w:r>
              <w:t xml:space="preserve">Délai de correction proposé</w:t>
            </w:r>
          </w:p>
        </w:tc>
        <w:tc>
          <w:tcPr/>
          <w:p>
            <w:pPr>
              <w:pStyle w:val="Compact"/>
            </w:pPr>
            <w:r>
              <w:t xml:space="preserve">Statut</w:t>
            </w:r>
          </w:p>
        </w:tc>
      </w:tr>
      <w:tr>
        <w:tc>
          <w:tcPr/>
          <w:p>
            <w:pPr>
              <w:pStyle w:val="Compact"/>
            </w:pPr>
            <w:r>
              <w:t xml:space="preserve">Critique</w:t>
            </w:r>
          </w:p>
        </w:tc>
        <w:tc>
          <w:tcPr/>
          <w:p>
            <w:pPr>
              <w:pStyle w:val="Compact"/>
            </w:pPr>
            <w:r>
              <w:t xml:space="preserve">72 heures</w:t>
            </w:r>
          </w:p>
        </w:tc>
        <w:tc>
          <w:tcPr/>
          <w:p>
            <w:pPr>
              <w:pStyle w:val="Compact"/>
            </w:pPr>
            <w:r>
              <w:t xml:space="preserve">[proposition — à confirmer au contrat]</w:t>
            </w:r>
          </w:p>
        </w:tc>
      </w:tr>
      <w:tr>
        <w:tc>
          <w:tcPr/>
          <w:p>
            <w:pPr>
              <w:pStyle w:val="Compact"/>
            </w:pPr>
            <w:r>
              <w:t xml:space="preserve">Haute</w:t>
            </w:r>
          </w:p>
        </w:tc>
        <w:tc>
          <w:tcPr/>
          <w:p>
            <w:pPr>
              <w:pStyle w:val="Compact"/>
            </w:pPr>
            <w:r>
              <w:t xml:space="preserve">7 jours</w:t>
            </w:r>
          </w:p>
        </w:tc>
        <w:tc>
          <w:tcPr/>
          <w:p>
            <w:pPr>
              <w:pStyle w:val="Compact"/>
            </w:pPr>
            <w:r>
              <w:t xml:space="preserve">[proposition — à confirmer au contrat]</w:t>
            </w:r>
          </w:p>
        </w:tc>
      </w:tr>
      <w:tr>
        <w:tc>
          <w:tcPr/>
          <w:p>
            <w:pPr>
              <w:pStyle w:val="Compact"/>
            </w:pPr>
            <w:r>
              <w:t xml:space="preserve">Moyenne</w:t>
            </w:r>
          </w:p>
        </w:tc>
        <w:tc>
          <w:tcPr/>
          <w:p>
            <w:pPr>
              <w:pStyle w:val="Compact"/>
            </w:pPr>
            <w:r>
              <w:t xml:space="preserve">30 jours</w:t>
            </w:r>
          </w:p>
        </w:tc>
        <w:tc>
          <w:tcPr/>
          <w:p>
            <w:pPr>
              <w:pStyle w:val="Compact"/>
            </w:pPr>
            <w:r>
              <w:t xml:space="preserve">[proposition — à confirmer au contrat]</w:t>
            </w:r>
          </w:p>
        </w:tc>
      </w:tr>
      <w:tr>
        <w:tc>
          <w:tcPr/>
          <w:p>
            <w:pPr>
              <w:pStyle w:val="Compact"/>
            </w:pPr>
            <w:r>
              <w:t xml:space="preserve">Basse</w:t>
            </w:r>
          </w:p>
        </w:tc>
        <w:tc>
          <w:tcPr/>
          <w:p>
            <w:pPr>
              <w:pStyle w:val="Compact"/>
            </w:pPr>
            <w:r>
              <w:t xml:space="preserve">Prochaine version planifiée</w:t>
            </w:r>
          </w:p>
        </w:tc>
        <w:tc>
          <w:tcPr/>
          <w:p>
            <w:pPr>
              <w:pStyle w:val="Compact"/>
            </w:pPr>
            <w:r>
              <w:t xml:space="preserve">[proposition — à confirmer au contrat]</w:t>
            </w:r>
          </w:p>
        </w:tc>
      </w:tr>
    </w:tbl>
    <w:p>
      <w:pPr>
        <w:pStyle w:val="BlockText"/>
      </w:pPr>
      <w:r>
        <w:t xml:space="preserve">En déploiement isolé, l'</w:t>
      </w:r>
      <w:r>
        <w:rPr>
          <w:b/>
          <w:bCs/>
        </w:rPr>
        <w:t xml:space="preserve">application</w:t>
      </w:r>
      <w:r>
        <w:t xml:space="preserve"> </w:t>
      </w:r>
      <w:r>
        <w:t xml:space="preserve">effective des correctifs dépend de la fenêtre de maintenance et de la procédure hors-ligne du Client ; les délais ci-dessus visent la</w:t>
      </w:r>
      <w:r>
        <w:t xml:space="preserve"> </w:t>
      </w:r>
      <w:r>
        <w:rPr>
          <w:b/>
          <w:bCs/>
        </w:rPr>
        <w:t xml:space="preserve">mise à disposition</w:t>
      </w:r>
      <w:r>
        <w:t xml:space="preserve"> </w:t>
      </w:r>
      <w:r>
        <w:t xml:space="preserve">du correctif par l'éditeur.</w:t>
      </w:r>
    </w:p>
    <w:p>
      <w:r>
        <w:pict>
          <v:rect style="width:0;height:1.5pt" o:hralign="center" o:hrstd="t" o:hr="t"/>
        </w:pict>
      </w:r>
    </w:p>
    <w:bookmarkEnd w:id="172"/>
    <w:bookmarkEnd w:id="173"/>
    <w:bookmarkStart w:id="176" w:name="X990a3864a322e7863cf5268ad72daf92e52406f"/>
    <w:p>
      <w:pPr>
        <w:pStyle w:val="Heading2"/>
      </w:pPr>
      <w:r>
        <w:t xml:space="preserve">6. Gestion des incidents de sécurité</w:t>
      </w:r>
    </w:p>
    <w:bookmarkStart w:id="174" w:name="X28a25df8abf3fe0b7d661831d94eaa023085632"/>
    <w:p>
      <w:pPr>
        <w:pStyle w:val="Heading3"/>
      </w:pPr>
      <w:r>
        <w:t xml:space="preserve">6.1 Processus</w:t>
      </w:r>
    </w:p>
    <w:p>
      <w:pPr>
        <w:pStyle w:val="Compact"/>
        <w:numPr>
          <w:ilvl w:val="0"/>
          <w:numId w:val="1054"/>
        </w:numPr>
      </w:pPr>
      <w:r>
        <w:rPr>
          <w:b/>
          <w:bCs/>
        </w:rPr>
        <w:t xml:space="preserve">Détection</w:t>
      </w:r>
      <w:r>
        <w:t xml:space="preserve"> </w:t>
      </w:r>
      <w:r>
        <w:t xml:space="preserve">: supervision, audit trail, alertes antivirus, signalement.</w:t>
      </w:r>
    </w:p>
    <w:p>
      <w:pPr>
        <w:pStyle w:val="Compact"/>
        <w:numPr>
          <w:ilvl w:val="0"/>
          <w:numId w:val="1054"/>
        </w:numPr>
      </w:pPr>
      <w:r>
        <w:rPr>
          <w:b/>
          <w:bCs/>
        </w:rPr>
        <w:t xml:space="preserve">Qualification</w:t>
      </w:r>
      <w:r>
        <w:t xml:space="preserve"> </w:t>
      </w:r>
      <w:r>
        <w:t xml:space="preserve">: nature, périmètre (service / serveur / salle / organisation), gravité, caractère de violation de données personnelles éventuel.</w:t>
      </w:r>
    </w:p>
    <w:p>
      <w:pPr>
        <w:pStyle w:val="Compact"/>
        <w:numPr>
          <w:ilvl w:val="0"/>
          <w:numId w:val="1054"/>
        </w:numPr>
      </w:pPr>
      <w:r>
        <w:rPr>
          <w:b/>
          <w:bCs/>
        </w:rPr>
        <w:t xml:space="preserve">Endiguement et éradication</w:t>
      </w:r>
      <w:r>
        <w:t xml:space="preserve"> </w:t>
      </w:r>
      <w:r>
        <w:t xml:space="preserve">: isolation, application des scénarios de reprise (DCD §13).</w:t>
      </w:r>
    </w:p>
    <w:p>
      <w:pPr>
        <w:pStyle w:val="Compact"/>
        <w:numPr>
          <w:ilvl w:val="0"/>
          <w:numId w:val="1054"/>
        </w:numPr>
      </w:pPr>
      <w:r>
        <w:rPr>
          <w:b/>
          <w:bCs/>
        </w:rPr>
        <w:t xml:space="preserve">Notification</w:t>
      </w:r>
      <w:r>
        <w:t xml:space="preserve"> </w:t>
      </w:r>
      <w:r>
        <w:t xml:space="preserve">(voir §6.2).</w:t>
      </w:r>
    </w:p>
    <w:p>
      <w:pPr>
        <w:pStyle w:val="Compact"/>
        <w:numPr>
          <w:ilvl w:val="0"/>
          <w:numId w:val="1054"/>
        </w:numPr>
      </w:pPr>
      <w:r>
        <w:rPr>
          <w:b/>
          <w:bCs/>
        </w:rPr>
        <w:t xml:space="preserve">Rétablissement</w:t>
      </w:r>
      <w:r>
        <w:t xml:space="preserve"> </w:t>
      </w:r>
      <w:r>
        <w:t xml:space="preserve">: reprise du service, contrôles d'intégrité.</w:t>
      </w:r>
    </w:p>
    <w:p>
      <w:pPr>
        <w:pStyle w:val="Compact"/>
        <w:numPr>
          <w:ilvl w:val="0"/>
          <w:numId w:val="1054"/>
        </w:numPr>
      </w:pPr>
      <w:r>
        <w:rPr>
          <w:b/>
          <w:bCs/>
        </w:rPr>
        <w:t xml:space="preserve">Retour d'expérience</w:t>
      </w:r>
      <w:r>
        <w:t xml:space="preserve"> </w:t>
      </w:r>
      <w:r>
        <w:t xml:space="preserve">: analyse des causes, actions correctives, mise à jour documentaire.</w:t>
      </w:r>
    </w:p>
    <w:bookmarkEnd w:id="174"/>
    <w:bookmarkStart w:id="175" w:name="Xf19d7f07ee76b7812076d755ca08ffebb9b0f1a"/>
    <w:p>
      <w:pPr>
        <w:pStyle w:val="Heading3"/>
      </w:pPr>
      <w:r>
        <w:t xml:space="preserve">6.2 Notification</w:t>
      </w:r>
    </w:p>
    <w:p>
      <w:pPr>
        <w:pStyle w:val="Compact"/>
        <w:numPr>
          <w:ilvl w:val="0"/>
          <w:numId w:val="1055"/>
        </w:numPr>
      </w:pPr>
      <w:r>
        <w:t xml:space="preserve">En cas de</w:t>
      </w:r>
      <w:r>
        <w:t xml:space="preserve"> </w:t>
      </w:r>
      <w:r>
        <w:rPr>
          <w:b/>
          <w:bCs/>
        </w:rPr>
        <w:t xml:space="preserve">violation de données personnelles</w:t>
      </w:r>
      <w:r>
        <w:t xml:space="preserve">, notification au Client (responsable de traitement)</w:t>
      </w:r>
      <w:r>
        <w:t xml:space="preserve"> </w:t>
      </w:r>
      <w:r>
        <w:rPr>
          <w:b/>
          <w:bCs/>
        </w:rPr>
        <w:t xml:space="preserve">≤ 48 h ouvrées</w:t>
      </w:r>
      <w:r>
        <w:t xml:space="preserve"> </w:t>
      </w:r>
      <w:r>
        <w:t xml:space="preserve">après connaissance, avec les éléments disponibles (nature, périmètre, mesures).</w:t>
      </w:r>
    </w:p>
    <w:p>
      <w:pPr>
        <w:pStyle w:val="Compact"/>
        <w:numPr>
          <w:ilvl w:val="0"/>
          <w:numId w:val="1055"/>
        </w:numPr>
      </w:pPr>
      <w:r>
        <w:t xml:space="preserve">Le Client, responsable de traitement, apprécie la notification à la CNIL (</w:t>
      </w:r>
      <w:r>
        <w:rPr>
          <w:b/>
          <w:bCs/>
        </w:rPr>
        <w:t xml:space="preserve">≤ 72 h</w:t>
      </w:r>
      <w:r>
        <w:t xml:space="preserve">) et l'information des personnes le cas échéant.</w:t>
      </w:r>
    </w:p>
    <w:p>
      <w:pPr>
        <w:pStyle w:val="Compact"/>
        <w:numPr>
          <w:ilvl w:val="0"/>
          <w:numId w:val="1055"/>
        </w:numPr>
      </w:pPr>
      <w:r>
        <w:t xml:space="preserve">Contact éditeur/mainteneur (OHADJA) :</w:t>
      </w:r>
      <w:r>
        <w:t xml:space="preserve"> </w:t>
      </w:r>
      <w:r>
        <w:rPr>
          <w:rStyle w:val="VerbatimChar"/>
        </w:rPr>
        <w:t xml:space="preserve">privacy@transcribia.eu</w:t>
      </w:r>
      <w:r>
        <w:t xml:space="preserve">.</w:t>
      </w:r>
    </w:p>
    <w:p>
      <w:r>
        <w:pict>
          <v:rect style="width:0;height:1.5pt" o:hralign="center" o:hrstd="t" o:hr="t"/>
        </w:pict>
      </w:r>
    </w:p>
    <w:bookmarkEnd w:id="175"/>
    <w:bookmarkEnd w:id="176"/>
    <w:bookmarkStart w:id="177" w:name="X55675ba7ec60071c6382c0d095db1b42e3cd3a7"/>
    <w:p>
      <w:pPr>
        <w:pStyle w:val="Heading2"/>
      </w:pPr>
      <w:r>
        <w:t xml:space="preserve">7. Contrôle des accès prestataire</w:t>
      </w:r>
    </w:p>
    <w:p>
      <w:pPr>
        <w:pStyle w:val="FirstParagraph"/>
      </w:pPr>
      <w:r>
        <w:rPr>
          <w:b/>
          <w:bCs/>
        </w:rPr>
        <w:t xml:space="preserve">Principe : aucun accès permanent.</w:t>
      </w:r>
      <w:r>
        <w:t xml:space="preserve"> </w:t>
      </w:r>
      <w:r>
        <w:t xml:space="preserve">En déploiement on-premise, OHADJA (éditeur/mainteneur) et l'intégrateur du projet n'ont</w:t>
      </w:r>
      <w:r>
        <w:t xml:space="preserve"> </w:t>
      </w:r>
      <w:r>
        <w:rPr>
          <w:b/>
          <w:bCs/>
        </w:rPr>
        <w:t xml:space="preserve">aucun accès permanent</w:t>
      </w:r>
      <w:r>
        <w:t xml:space="preserve"> </w:t>
      </w:r>
      <w:r>
        <w:t xml:space="preserve">à la plateforme de production du Client. Le revendeur AMBASSADIA n'a, quant à lui,</w:t>
      </w:r>
      <w:r>
        <w:t xml:space="preserve"> </w:t>
      </w:r>
      <w:r>
        <w:rPr>
          <w:b/>
          <w:bCs/>
        </w:rPr>
        <w:t xml:space="preserve">aucun accès d'aucune sorte</w:t>
      </w:r>
      <w:r>
        <w:t xml:space="preserve"> </w:t>
      </w:r>
      <w:r>
        <w:t xml:space="preserve">aux environnements ni aux données.</w:t>
      </w:r>
    </w:p>
    <w:p>
      <w:pPr>
        <w:pStyle w:val="Compact"/>
        <w:numPr>
          <w:ilvl w:val="0"/>
          <w:numId w:val="1056"/>
        </w:numPr>
      </w:pPr>
      <w:r>
        <w:t xml:space="preserve">L'accès distant éventuel d'OHADJA (support, diagnostic, maintenance) n'est possible</w:t>
      </w:r>
      <w:r>
        <w:t xml:space="preserve"> </w:t>
      </w:r>
      <w:r>
        <w:rPr>
          <w:b/>
          <w:bCs/>
        </w:rPr>
        <w:t xml:space="preserve">que sur autorisation expresse et préalable du Client</w:t>
      </w:r>
      <w:r>
        <w:t xml:space="preserve">, au cas par cas.</w:t>
      </w:r>
    </w:p>
    <w:p>
      <w:pPr>
        <w:pStyle w:val="Compact"/>
        <w:numPr>
          <w:ilvl w:val="0"/>
          <w:numId w:val="1056"/>
        </w:numPr>
      </w:pPr>
      <w:r>
        <w:t xml:space="preserve">Toute session d'accès est</w:t>
      </w:r>
      <w:r>
        <w:t xml:space="preserve"> </w:t>
      </w:r>
      <w:r>
        <w:rPr>
          <w:b/>
          <w:bCs/>
        </w:rPr>
        <w:t xml:space="preserve">nominative</w:t>
      </w:r>
      <w:r>
        <w:t xml:space="preserve">,</w:t>
      </w:r>
      <w:r>
        <w:t xml:space="preserve"> </w:t>
      </w:r>
      <w:r>
        <w:rPr>
          <w:b/>
          <w:bCs/>
        </w:rPr>
        <w:t xml:space="preserve">supervisée</w:t>
      </w:r>
      <w:r>
        <w:t xml:space="preserve"> </w:t>
      </w:r>
      <w:r>
        <w:t xml:space="preserve">et</w:t>
      </w:r>
      <w:r>
        <w:t xml:space="preserve"> </w:t>
      </w:r>
      <w:r>
        <w:rPr>
          <w:b/>
          <w:bCs/>
        </w:rPr>
        <w:t xml:space="preserve">tracée</w:t>
      </w:r>
      <w:r>
        <w:t xml:space="preserve"> </w:t>
      </w:r>
      <w:r>
        <w:t xml:space="preserve">(accompagnement par la DSI, journalisation, durée limitée).</w:t>
      </w:r>
    </w:p>
    <w:p>
      <w:pPr>
        <w:pStyle w:val="Compact"/>
        <w:numPr>
          <w:ilvl w:val="0"/>
          <w:numId w:val="1056"/>
        </w:numPr>
      </w:pPr>
      <w:r>
        <w:t xml:space="preserve">Aucun compte prestataire dormant ; les accès sont</w:t>
      </w:r>
      <w:r>
        <w:t xml:space="preserve"> </w:t>
      </w:r>
      <w:r>
        <w:rPr>
          <w:b/>
          <w:bCs/>
        </w:rPr>
        <w:t xml:space="preserve">révoqués</w:t>
      </w:r>
      <w:r>
        <w:t xml:space="preserve"> </w:t>
      </w:r>
      <w:r>
        <w:t xml:space="preserve">à la fin de l'intervention.</w:t>
      </w:r>
    </w:p>
    <w:p>
      <w:pPr>
        <w:pStyle w:val="Compact"/>
        <w:numPr>
          <w:ilvl w:val="0"/>
          <w:numId w:val="1056"/>
        </w:numPr>
      </w:pPr>
      <w:r>
        <w:t xml:space="preserve">Aucune copie locale de données de production côté prestataire.</w:t>
      </w:r>
    </w:p>
    <w:p>
      <w:pPr>
        <w:pStyle w:val="Compact"/>
        <w:numPr>
          <w:ilvl w:val="0"/>
          <w:numId w:val="1056"/>
        </w:numPr>
      </w:pPr>
      <w:r>
        <w:t xml:space="preserve">Le compte</w:t>
      </w:r>
      <w:r>
        <w:t xml:space="preserve"> </w:t>
      </w:r>
      <w:r>
        <w:rPr>
          <w:rStyle w:val="VerbatimChar"/>
        </w:rPr>
        <w:t xml:space="preserve">super_agent</w:t>
      </w:r>
      <w:r>
        <w:t xml:space="preserve"> </w:t>
      </w:r>
      <w:r>
        <w:t xml:space="preserve">de l'intégrateur n'existe que sur l'environnement de</w:t>
      </w:r>
      <w:r>
        <w:t xml:space="preserve"> </w:t>
      </w:r>
      <w:r>
        <w:rPr>
          <w:b/>
          <w:bCs/>
        </w:rPr>
        <w:t xml:space="preserve">démonstration</w:t>
      </w:r>
      <w:r>
        <w:t xml:space="preserve"> </w:t>
      </w:r>
      <w:r>
        <w:t xml:space="preserve">(jamais la production) et ne donne</w:t>
      </w:r>
      <w:r>
        <w:t xml:space="preserve"> </w:t>
      </w:r>
      <w:r>
        <w:rPr>
          <w:b/>
          <w:bCs/>
        </w:rPr>
        <w:t xml:space="preserve">aucun accès au contenu</w:t>
      </w:r>
      <w:r>
        <w:t xml:space="preserve"> </w:t>
      </w:r>
      <w:r>
        <w:t xml:space="preserve">des organisations.</w:t>
      </w:r>
    </w:p>
    <w:p>
      <w:pPr>
        <w:pStyle w:val="BlockText"/>
      </w:pPr>
      <w:r>
        <w:rPr>
          <w:b/>
          <w:bCs/>
        </w:rPr>
        <w:t xml:space="preserve">Engagement — localisation des interventions.</w:t>
      </w:r>
      <w:r>
        <w:t xml:space="preserve"> </w:t>
      </w:r>
      <w:r>
        <w:t xml:space="preserve">Toute intervention de support et de maintenance d'OHADJA est réalisée</w:t>
      </w:r>
      <w:r>
        <w:t xml:space="preserve"> </w:t>
      </w:r>
      <w:r>
        <w:rPr>
          <w:b/>
          <w:bCs/>
        </w:rPr>
        <w:t xml:space="preserve">exclusivement depuis la France ou l'Union européenne</w:t>
      </w:r>
      <w:r>
        <w:t xml:space="preserve">. Aucune administration ni aucun accès de support n'est effectué depuis un pays tiers hors EEE. Cet engagement est cohérent avec la nature d'OHADJA, éditeur établi en France (Paris). Il vaut engagement contractuel à reprendre au contrat de maintenance.</w:t>
      </w:r>
    </w:p>
    <w:p>
      <w:r>
        <w:pict>
          <v:rect style="width:0;height:1.5pt" o:hralign="center" o:hrstd="t" o:hr="t"/>
        </w:pict>
      </w:r>
    </w:p>
    <w:bookmarkEnd w:id="177"/>
    <w:bookmarkStart w:id="178" w:name="X11ff2a099049a9b0760c01b4e8b4475e8b5d05c"/>
    <w:p>
      <w:pPr>
        <w:pStyle w:val="Heading2"/>
      </w:pPr>
      <w:r>
        <w:t xml:space="preserve">8. Réversibilité (sécurité)</w:t>
      </w:r>
    </w:p>
    <w:p>
      <w:pPr>
        <w:pStyle w:val="Compact"/>
        <w:numPr>
          <w:ilvl w:val="0"/>
          <w:numId w:val="1057"/>
        </w:numPr>
      </w:pPr>
      <w:r>
        <w:rPr>
          <w:b/>
          <w:bCs/>
        </w:rPr>
        <w:t xml:space="preserve">Export complet par organisation</w:t>
      </w:r>
      <w:r>
        <w:t xml:space="preserve"> </w:t>
      </w:r>
      <w:r>
        <w:t xml:space="preserve">en self-service (</w:t>
      </w:r>
      <w:r>
        <w:rPr>
          <w:rStyle w:val="VerbatimChar"/>
        </w:rPr>
        <w:t xml:space="preserve">.tar.gz</w:t>
      </w:r>
      <w:r>
        <w:t xml:space="preserve"> </w:t>
      </w:r>
      <w:r>
        <w:t xml:space="preserve">signé SHA-256) : sessions, audio, transcriptions, générations IA, votes, présences, dictionnaire, journal d'activité, utilisateurs.</w:t>
      </w:r>
    </w:p>
    <w:p>
      <w:pPr>
        <w:pStyle w:val="Compact"/>
        <w:numPr>
          <w:ilvl w:val="0"/>
          <w:numId w:val="1057"/>
        </w:numPr>
      </w:pPr>
      <w:r>
        <w:rPr>
          <w:b/>
          <w:bCs/>
        </w:rPr>
        <w:t xml:space="preserve">Restauration granulaire</w:t>
      </w:r>
      <w:r>
        <w:t xml:space="preserve"> </w:t>
      </w:r>
      <w:r>
        <w:t xml:space="preserve">par organisation.</w:t>
      </w:r>
    </w:p>
    <w:p>
      <w:pPr>
        <w:pStyle w:val="Compact"/>
        <w:numPr>
          <w:ilvl w:val="0"/>
          <w:numId w:val="1057"/>
        </w:numPr>
      </w:pPr>
      <w:r>
        <w:rPr>
          <w:b/>
          <w:bCs/>
        </w:rPr>
        <w:t xml:space="preserve">Suppression certifiée</w:t>
      </w:r>
      <w:r>
        <w:t xml:space="preserve"> </w:t>
      </w:r>
      <w:r>
        <w:t xml:space="preserve">(art. 17 RGPD) tracée avec certificat de suppression.</w:t>
      </w:r>
    </w:p>
    <w:p>
      <w:pPr>
        <w:pStyle w:val="Compact"/>
        <w:numPr>
          <w:ilvl w:val="0"/>
          <w:numId w:val="1057"/>
        </w:numPr>
      </w:pPr>
      <w:r>
        <w:t xml:space="preserve">En fin de contrat : restitution des données puis suppression, selon les modalités du DPA (restitution/suppression sous 30 j + purge des sauvegardes sous 90 j + certificat).</w:t>
      </w:r>
    </w:p>
    <w:p>
      <w:pPr>
        <w:pStyle w:val="Compact"/>
        <w:numPr>
          <w:ilvl w:val="0"/>
          <w:numId w:val="1057"/>
        </w:numPr>
      </w:pPr>
      <w:r>
        <w:t xml:space="preserve">Les</w:t>
      </w:r>
      <w:r>
        <w:t xml:space="preserve"> </w:t>
      </w:r>
      <w:r>
        <w:rPr>
          <w:b/>
          <w:bCs/>
        </w:rPr>
        <w:t xml:space="preserve">clés de chiffrement des sauvegardes</w:t>
      </w:r>
      <w:r>
        <w:t xml:space="preserve"> </w:t>
      </w:r>
      <w:r>
        <w:t xml:space="preserve">étant détenues par le Client, la réversibilité ne dépend pas d'un secret de l'éditeur.</w:t>
      </w:r>
    </w:p>
    <w:p>
      <w:r>
        <w:pict>
          <v:rect style="width:0;height:1.5pt" o:hralign="center" o:hrstd="t" o:hr="t"/>
        </w:pict>
      </w:r>
    </w:p>
    <w:bookmarkEnd w:id="178"/>
    <w:bookmarkStart w:id="179" w:name="Xaf792b86397cdd49b989fcabb6474a3aaee708b"/>
    <w:p>
      <w:pPr>
        <w:pStyle w:val="Heading2"/>
      </w:pPr>
      <w:r>
        <w:t xml:space="preserve">9. Engagements et limites</w:t>
      </w:r>
    </w:p>
    <w:p>
      <w:pPr>
        <w:pStyle w:val="FirstParagraph"/>
      </w:pPr>
      <w:r>
        <w:rPr>
          <w:b/>
          <w:bCs/>
        </w:rPr>
        <w:t xml:space="preserve">Engagements :</w:t>
      </w:r>
    </w:p>
    <w:p>
      <w:pPr>
        <w:pStyle w:val="Compact"/>
        <w:numPr>
          <w:ilvl w:val="0"/>
          <w:numId w:val="1058"/>
        </w:numPr>
      </w:pPr>
      <w:r>
        <w:t xml:space="preserve">Solution durcie, développée selon un SDLC sécurisé avec revues (dont adversariales) avant chaque release.</w:t>
      </w:r>
    </w:p>
    <w:p>
      <w:pPr>
        <w:pStyle w:val="Compact"/>
        <w:numPr>
          <w:ilvl w:val="0"/>
          <w:numId w:val="1058"/>
        </w:numPr>
      </w:pPr>
      <w:r>
        <w:t xml:space="preserve">Documentation complète (conception, exploitation, recette, sécurité).</w:t>
      </w:r>
    </w:p>
    <w:p>
      <w:pPr>
        <w:pStyle w:val="Compact"/>
        <w:numPr>
          <w:ilvl w:val="0"/>
          <w:numId w:val="1058"/>
        </w:numPr>
      </w:pPr>
      <w:r>
        <w:t xml:space="preserve">Support selon les modalités convenues (voir EXPL-16/EXPL-17).</w:t>
      </w:r>
    </w:p>
    <w:p>
      <w:pPr>
        <w:pStyle w:val="Compact"/>
        <w:numPr>
          <w:ilvl w:val="0"/>
          <w:numId w:val="1058"/>
        </w:numPr>
      </w:pPr>
      <w:r>
        <w:t xml:space="preserve">Aucun traitement biométrique automatique persistant introduit sans mise à jour explicite du DPA (préavis ≥ 60 j).</w:t>
      </w:r>
    </w:p>
    <w:p>
      <w:pPr>
        <w:pStyle w:val="Compact"/>
        <w:numPr>
          <w:ilvl w:val="0"/>
          <w:numId w:val="1058"/>
        </w:numPr>
      </w:pPr>
      <w:r>
        <w:t xml:space="preserve">Aucun accès permanent à la production ; accès de support uniquement sur autorisation expresse, supervisé et tracé.</w:t>
      </w:r>
    </w:p>
    <w:p>
      <w:pPr>
        <w:pStyle w:val="Compact"/>
        <w:numPr>
          <w:ilvl w:val="0"/>
          <w:numId w:val="1058"/>
        </w:numPr>
      </w:pPr>
      <w:r>
        <w:t xml:space="preserve">Support et maintenance réalisés</w:t>
      </w:r>
      <w:r>
        <w:t xml:space="preserve"> </w:t>
      </w:r>
      <w:r>
        <w:rPr>
          <w:b/>
          <w:bCs/>
        </w:rPr>
        <w:t xml:space="preserve">exclusivement depuis la France / l'Union européenne</w:t>
      </w:r>
      <w:r>
        <w:t xml:space="preserve"> </w:t>
      </w:r>
      <w:r>
        <w:t xml:space="preserve">(aucune intervention depuis un pays tiers hors EEE).</w:t>
      </w:r>
    </w:p>
    <w:p>
      <w:pPr>
        <w:pStyle w:val="FirstParagraph"/>
      </w:pPr>
      <w:r>
        <w:rPr>
          <w:b/>
          <w:bCs/>
        </w:rPr>
        <w:t xml:space="preserve">Limites (transparence) :</w:t>
      </w:r>
    </w:p>
    <w:p>
      <w:pPr>
        <w:pStyle w:val="Compact"/>
        <w:numPr>
          <w:ilvl w:val="0"/>
          <w:numId w:val="1059"/>
        </w:numPr>
      </w:pPr>
      <w:r>
        <w:rPr>
          <w:b/>
          <w:bCs/>
        </w:rPr>
        <w:t xml:space="preserve">Aucune certification</w:t>
      </w:r>
      <w:r>
        <w:t xml:space="preserve"> </w:t>
      </w:r>
      <w:r>
        <w:t xml:space="preserve">(ISO 27001, SOC 2, HDS, SecNumCloud)</w:t>
      </w:r>
      <w:r>
        <w:t xml:space="preserve"> </w:t>
      </w:r>
      <w:r>
        <w:rPr>
          <w:b/>
          <w:bCs/>
        </w:rPr>
        <w:t xml:space="preserve">obtenue à ce jour</w:t>
      </w:r>
      <w:r>
        <w:t xml:space="preserve"> </w:t>
      </w:r>
      <w:r>
        <w:t xml:space="preserve">; démarches en cours / planifiées (voir §3).</w:t>
      </w:r>
    </w:p>
    <w:p>
      <w:pPr>
        <w:pStyle w:val="Compact"/>
        <w:numPr>
          <w:ilvl w:val="0"/>
          <w:numId w:val="1059"/>
        </w:numPr>
      </w:pPr>
      <w:r>
        <w:t xml:space="preserve">L'attestation « aucune donnée dans le cloud » ne vaut</w:t>
      </w:r>
      <w:r>
        <w:t xml:space="preserve"> </w:t>
      </w:r>
      <w:r>
        <w:rPr>
          <w:b/>
          <w:bCs/>
        </w:rPr>
        <w:t xml:space="preserve">que pour la variante on-premise isolée</w:t>
      </w:r>
      <w:r>
        <w:t xml:space="preserve"> </w:t>
      </w:r>
      <w:r>
        <w:t xml:space="preserve">décrite ici.</w:t>
      </w:r>
    </w:p>
    <w:p>
      <w:pPr>
        <w:pStyle w:val="Compact"/>
        <w:numPr>
          <w:ilvl w:val="0"/>
          <w:numId w:val="1059"/>
        </w:numPr>
      </w:pPr>
      <w:r>
        <w:t xml:space="preserve">La sécurité de l'infrastructure sous-jacente (réseau, physique, PKI, exploitation) relève du Client.</w:t>
      </w:r>
    </w:p>
    <w:p>
      <w:pPr>
        <w:pStyle w:val="Compact"/>
        <w:numPr>
          <w:ilvl w:val="0"/>
          <w:numId w:val="1059"/>
        </w:numPr>
      </w:pPr>
      <w:r>
        <w:t xml:space="preserve">ClamAV en</w:t>
      </w:r>
      <w:r>
        <w:t xml:space="preserve"> </w:t>
      </w:r>
      <w:r>
        <w:rPr>
          <w:b/>
          <w:bCs/>
        </w:rPr>
        <w:t xml:space="preserve">fail-open journalisé</w:t>
      </w:r>
      <w:r>
        <w:t xml:space="preserve"> </w:t>
      </w:r>
      <w:r>
        <w:t xml:space="preserve">: en cas d'indisponibilité du scanner, l'événement est tracé — à intégrer à l'analyse de risque du Client.</w:t>
      </w:r>
    </w:p>
    <w:p>
      <w:pPr>
        <w:pStyle w:val="Compact"/>
        <w:numPr>
          <w:ilvl w:val="0"/>
          <w:numId w:val="1059"/>
        </w:numPr>
      </w:pPr>
      <w:r>
        <w:t xml:space="preserve">Les délais de correction et niveaux de service sont des</w:t>
      </w:r>
      <w:r>
        <w:t xml:space="preserve"> </w:t>
      </w:r>
      <w:r>
        <w:rPr>
          <w:b/>
          <w:bCs/>
        </w:rPr>
        <w:t xml:space="preserve">propositions</w:t>
      </w:r>
      <w:r>
        <w:t xml:space="preserve"> </w:t>
      </w:r>
      <w:r>
        <w:t xml:space="preserve">à confirmer au contrat.</w:t>
      </w:r>
    </w:p>
    <w:p>
      <w:r>
        <w:pict>
          <v:rect style="width:0;height:1.5pt" o:hralign="center" o:hrstd="t" o:hr="t"/>
        </w:pict>
      </w:r>
    </w:p>
    <w:bookmarkEnd w:id="179"/>
    <w:bookmarkStart w:id="180" w:name="Xe6f82c3d27eccb5c8256ef77906554a3c8d67e2"/>
    <w:p>
      <w:pPr>
        <w:pStyle w:val="Heading2"/>
      </w:pPr>
      <w:r>
        <w:t xml:space="preserve">10. Suivi</w:t>
      </w:r>
    </w:p>
    <w:p>
      <w:pPr>
        <w:pStyle w:val="Compact"/>
        <w:numPr>
          <w:ilvl w:val="0"/>
          <w:numId w:val="1060"/>
        </w:numPr>
      </w:pPr>
      <w:r>
        <w:rPr>
          <w:b/>
          <w:bCs/>
        </w:rPr>
        <w:t xml:space="preserve">Comité de suivi sécurité</w:t>
      </w:r>
      <w:r>
        <w:t xml:space="preserve"> </w:t>
      </w:r>
      <w:r>
        <w:t xml:space="preserve">: réunion périodique éditeur / intégrateur / Client</w:t>
      </w:r>
      <w:r>
        <w:t xml:space="preserve"> </w:t>
      </w:r>
      <w:r>
        <w:rPr>
          <w:rStyle w:val="VerbatimChar"/>
        </w:rPr>
        <w:t xml:space="preserve">[À RENSEIGNER : fréquence, ex. semestrielle]</w:t>
      </w:r>
      <w:r>
        <w:t xml:space="preserve">.</w:t>
      </w:r>
    </w:p>
    <w:p>
      <w:pPr>
        <w:pStyle w:val="Compact"/>
        <w:numPr>
          <w:ilvl w:val="0"/>
          <w:numId w:val="1060"/>
        </w:numPr>
      </w:pPr>
      <w:r>
        <w:rPr>
          <w:b/>
          <w:bCs/>
        </w:rPr>
        <w:t xml:space="preserve">Indicateurs</w:t>
      </w:r>
      <w:r>
        <w:t xml:space="preserve"> </w:t>
      </w:r>
      <w:r>
        <w:t xml:space="preserve">proposés : nombre d'incidents et délai de traitement, vulnérabilités identifiées / corrigées et délais, résultats des tests de restauration périodiques, taux de disponibilité, respect des GTI.</w:t>
      </w:r>
    </w:p>
    <w:p>
      <w:pPr>
        <w:pStyle w:val="Compact"/>
        <w:numPr>
          <w:ilvl w:val="0"/>
          <w:numId w:val="1060"/>
        </w:numPr>
      </w:pPr>
      <w:r>
        <w:rPr>
          <w:b/>
          <w:bCs/>
        </w:rPr>
        <w:t xml:space="preserve">Revue annuelle</w:t>
      </w:r>
      <w:r>
        <w:t xml:space="preserve"> </w:t>
      </w:r>
      <w:r>
        <w:t xml:space="preserve">du présent PAS et du référentiel ISMS.</w:t>
      </w:r>
    </w:p>
    <w:p>
      <w:pPr>
        <w:pStyle w:val="Compact"/>
        <w:numPr>
          <w:ilvl w:val="0"/>
          <w:numId w:val="1060"/>
        </w:numPr>
      </w:pPr>
      <w:r>
        <w:rPr>
          <w:b/>
          <w:bCs/>
        </w:rPr>
        <w:t xml:space="preserve">Mises à jour</w:t>
      </w:r>
      <w:r>
        <w:t xml:space="preserve"> </w:t>
      </w:r>
      <w:r>
        <w:t xml:space="preserve">: le PAS est révisé à chaque évolution majeure de l'architecture ou du contexte réglementaire.</w:t>
      </w:r>
    </w:p>
    <w:p>
      <w:r>
        <w:pict>
          <v:rect style="width:0;height:1.5pt" o:hralign="center" o:hrstd="t" o:hr="t"/>
        </w:pict>
      </w:r>
    </w:p>
    <w:bookmarkEnd w:id="180"/>
    <w:bookmarkStart w:id="181" w:name="annexe--documents-liés"/>
    <w:p>
      <w:pPr>
        <w:pStyle w:val="Heading2"/>
      </w:pPr>
      <w:r>
        <w:t xml:space="preserve">Annexe — Documents liés</w:t>
      </w:r>
    </w:p>
    <w:p>
      <w:pPr>
        <w:pStyle w:val="Compact"/>
        <w:numPr>
          <w:ilvl w:val="0"/>
          <w:numId w:val="1061"/>
        </w:numPr>
      </w:pPr>
      <w:r>
        <w:rPr>
          <w:rStyle w:val="VerbatimChar"/>
        </w:rPr>
        <w:t xml:space="preserve">01_Dossier_Conception_Detaillee.md</w:t>
      </w:r>
      <w:r>
        <w:t xml:space="preserve"> </w:t>
      </w:r>
      <w:r>
        <w:t xml:space="preserve">— architecture et matrices de flux.</w:t>
      </w:r>
    </w:p>
    <w:p>
      <w:pPr>
        <w:pStyle w:val="Compact"/>
        <w:numPr>
          <w:ilvl w:val="0"/>
          <w:numId w:val="1061"/>
        </w:numPr>
      </w:pPr>
      <w:r>
        <w:rPr>
          <w:rStyle w:val="VerbatimChar"/>
        </w:rPr>
        <w:t xml:space="preserve">02_Dossier_Exploitation.md</w:t>
      </w:r>
      <w:r>
        <w:t xml:space="preserve"> </w:t>
      </w:r>
      <w:r>
        <w:t xml:space="preserve">— fiches opérationnelles.</w:t>
      </w:r>
    </w:p>
    <w:p>
      <w:pPr>
        <w:pStyle w:val="Compact"/>
        <w:numPr>
          <w:ilvl w:val="0"/>
          <w:numId w:val="1061"/>
        </w:numPr>
      </w:pPr>
      <w:r>
        <w:rPr>
          <w:rStyle w:val="VerbatimChar"/>
        </w:rPr>
        <w:t xml:space="preserve">03_Dossier_Qualification_Cahier_Recette.md</w:t>
      </w:r>
      <w:r>
        <w:t xml:space="preserve"> </w:t>
      </w:r>
      <w:r>
        <w:t xml:space="preserve">— tests et recette.</w:t>
      </w:r>
    </w:p>
    <w:p>
      <w:pPr>
        <w:pStyle w:val="Compact"/>
        <w:numPr>
          <w:ilvl w:val="0"/>
          <w:numId w:val="1061"/>
        </w:numPr>
      </w:pPr>
      <w:r>
        <w:t xml:space="preserve">Dossier RGPD (spécifique au projet) — acteurs, transferts, conservation, corrélation vocale.</w:t>
      </w:r>
    </w:p>
    <w:p>
      <w:pPr>
        <w:pStyle w:val="Compact"/>
        <w:numPr>
          <w:ilvl w:val="0"/>
          <w:numId w:val="1061"/>
        </w:numPr>
      </w:pPr>
      <w:r>
        <w:t xml:space="preserve">16 politiques ISMS —</w:t>
      </w:r>
      <w:r>
        <w:t xml:space="preserve"> </w:t>
      </w:r>
      <w:r>
        <w:rPr>
          <w:b/>
          <w:bCs/>
        </w:rPr>
        <w:t xml:space="preserve">disponibles sur demande</w:t>
      </w:r>
      <w:r>
        <w:t xml:space="preserve">.</w:t>
      </w:r>
    </w:p>
    <w:p>
      <w:r>
        <w:pict>
          <v:rect style="width:0;height:1.5pt" o:hralign="center" o:hrstd="t" o:hr="t"/>
        </w:pict>
      </w:r>
    </w:p>
    <w:p>
      <w:pPr>
        <w:pStyle w:val="FirstParagraph"/>
      </w:pPr>
      <w:r>
        <w:rPr>
          <w:i/>
          <w:iCs/>
        </w:rPr>
        <w:t xml:space="preserve">Document de travail établi par OHADJA (éditeur/mainteneur du logiciel TranscribIA) — à faire valider par votre conseil juridique / DPO avant signature. Les engagements de délais et de niveaux de service constituent des propositions à confirmer au contrat.</w:t>
      </w:r>
    </w:p>
    <w:bookmarkEnd w:id="181"/>
    <w:bookmarkEnd w:id="18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4" Target="media/rId104.png" /><Relationship Type="http://schemas.openxmlformats.org/officeDocument/2006/relationships/image" Id="rId67" Target="media/rId67.png" /><Relationship Type="http://schemas.openxmlformats.org/officeDocument/2006/relationships/image" Id="rId74" Target="media/rId74.png" /><Relationship Type="http://schemas.openxmlformats.org/officeDocument/2006/relationships/image" Id="rId54" Target="media/rId54.png" /><Relationship Type="http://schemas.openxmlformats.org/officeDocument/2006/relationships/hyperlink" Id="rId9" Target="mailto:privacy@transcribia.eu" TargetMode="External" /><Relationship Type="http://schemas.openxmlformats.org/officeDocument/2006/relationships/hyperlink" Id="rId134" Target="mailto:support@transcribia.eu" TargetMode="External" /></Relationships>
</file>

<file path=word/_rels/footnotes.xml.rels><?xml version="1.0" encoding="UTF-8"?><Relationships xmlns="http://schemas.openxmlformats.org/package/2006/relationships"><Relationship Type="http://schemas.openxmlformats.org/officeDocument/2006/relationships/hyperlink" Id="rId9" Target="mailto:privacy@transcribia.eu" TargetMode="External" /><Relationship Type="http://schemas.openxmlformats.org/officeDocument/2006/relationships/hyperlink" Id="rId134" Target="mailto:support@transcribia.e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2026-07-25T09:45:14Z</dcterms:created>
  <dcterms:modified xsi:type="dcterms:W3CDTF">2026-07-25T09:45:14Z</dcterms:modified>
</cp:coreProperties>
</file>

<file path=docProps/custom.xml><?xml version="1.0" encoding="utf-8"?>
<Properties xmlns="http://schemas.openxmlformats.org/officeDocument/2006/custom-properties" xmlns:vt="http://schemas.openxmlformats.org/officeDocument/2006/docPropsVTypes"/>
</file>